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Guide de transfert et de test — Epi Aggregator 2.0</w:t>
      </w:r>
    </w:p>
    <w:p>
      <w:r>
        <w:rPr>
          <w:b/>
        </w:rPr>
        <w:t>Destinataires :</w:t>
      </w:r>
      <w:r>
        <w:t xml:space="preserve"> GIS Centre, équipes GIS et surveillance épidémiologique</w:t>
      </w:r>
    </w:p>
    <w:p>
      <w:r>
        <w:rPr>
          <w:b/>
        </w:rPr>
        <w:t>Version de test :</w:t>
      </w:r>
      <w:r>
        <w:t xml:space="preserve"> Epi Aggregator 2.0.0</w:t>
      </w:r>
    </w:p>
    <w:p>
      <w:r>
        <w:rPr>
          <w:b/>
        </w:rPr>
        <w:t>Référence de test :</w:t>
      </w:r>
      <w:r>
        <w:t xml:space="preserve"> branche </w:t>
      </w:r>
      <w:r>
        <w:rPr>
          <w:rFonts w:ascii="Consolas" w:hAnsi="Consolas"/>
          <w:sz w:val="17"/>
        </w:rPr>
        <w:t>arena/01a0aaf8-exb-epi-widgets</w:t>
      </w:r>
      <w:r>
        <w:t xml:space="preserve"> — correctifs de préparation au pilote (écarts E1 à E3 du dossier de proposition), à fusionner dans </w:t>
      </w:r>
      <w:r>
        <w:rPr>
          <w:rFonts w:ascii="Consolas" w:hAnsi="Consolas"/>
          <w:sz w:val="17"/>
        </w:rPr>
        <w:t>main</w:t>
      </w:r>
      <w:r>
        <w:t xml:space="preserve"> avant la campagne</w:t>
      </w:r>
    </w:p>
    <w:p>
      <w:r>
        <w:rPr>
          <w:b/>
        </w:rPr>
        <w:t>Référence historique :</w:t>
      </w:r>
      <w:r>
        <w:t xml:space="preserve"> </w:t>
      </w:r>
      <w:r>
        <w:rPr>
          <w:rFonts w:ascii="Consolas" w:hAnsi="Consolas"/>
          <w:sz w:val="17"/>
        </w:rPr>
        <w:t>main</w:t>
      </w:r>
      <w:r>
        <w:t xml:space="preserve"> au commit </w:t>
      </w:r>
      <w:r>
        <w:rPr>
          <w:rFonts w:ascii="Consolas" w:hAnsi="Consolas"/>
          <w:sz w:val="17"/>
        </w:rPr>
        <w:t>907b88d</w:t>
      </w:r>
      <w:r>
        <w:t xml:space="preserve"> (« Merge Epi Aggregator 2.0 », 3 septembre 2026)</w:t>
      </w:r>
    </w:p>
    <w:p>
      <w:pPr>
        <w:ind w:left="340"/>
      </w:pPr>
      <w:r>
        <w:rPr>
          <w:b/>
          <w:color w:val="1D4F6E"/>
        </w:rPr>
        <w:t>Vérifier l'artefact testé.</w:t>
      </w:r>
      <w:r>
        <w:rPr>
          <w:color w:val="1D4F6E"/>
        </w:rPr>
        <w:t xml:space="preserve"> Noter le résultat de </w:t>
      </w:r>
      <w:r>
        <w:rPr>
          <w:rFonts w:ascii="Consolas" w:hAnsi="Consolas"/>
          <w:color w:val="1D4F6E"/>
          <w:sz w:val="17"/>
        </w:rPr>
        <w:t>git log -1 --oneline</w:t>
      </w:r>
      <w:r>
        <w:rPr>
          <w:color w:val="1D4F6E"/>
        </w:rPr>
        <w:t xml:space="preserve"> dans la fiche de retour (§ 9). La branche de test est référencée par son nom et non par un commit figé : c'est le commit constaté le jour du test qui fait foi.</w:t>
      </w:r>
    </w:p>
    <w:p>
      <w:r>
        <w:t xml:space="preserve">Ce guide détaille la manipulation. Le </w:t>
      </w:r>
      <w:r>
        <w:rPr>
          <w:b/>
        </w:rPr>
        <w:t>dossier de proposition</w:t>
      </w:r>
      <w:r>
        <w:t xml:space="preserve"> </w:t>
      </w:r>
      <w:r>
        <w:rPr>
          <w:rFonts w:ascii="Consolas" w:hAnsi="Consolas"/>
          <w:sz w:val="17"/>
        </w:rPr>
        <w:t>DOSSIER_PROPOSITION_GIS_CENTRE.md</w:t>
      </w:r>
      <w:r>
        <w:t xml:space="preserve"> porte la grille de décision T1–T15, les critères d'acceptation formels, le planning, les rôles et le formulaire de décision. Les deux documents se lisent ensemble : chaque scénario de ce guide est rattaché à un test noté de la grille.</w:t>
      </w:r>
    </w:p>
    <w:p>
      <w:pPr>
        <w:pStyle w:val="Heading2"/>
      </w:pPr>
      <w:r>
        <w:t>1. Objet du pilote</w:t>
      </w:r>
    </w:p>
    <w:p>
      <w:r>
        <w:t>Epi Aggregator 2.0 est un widget personnalisé ArcGIS Experience Builder pour analyser des line-lists épidémiologiques dans le temps, synchroniser plusieurs sources et préparer des agrégations par zone.</w:t>
      </w:r>
    </w:p>
    <w:p>
      <w:r>
        <w:t>Le pilote doit vérifier :</w:t>
      </w:r>
    </w:p>
    <w:p>
      <w:pPr>
        <w:pStyle w:val="ListBullet"/>
      </w:pPr>
      <w:r>
        <w:t>les formats de dates utilisés sur le terrain ;</w:t>
      </w:r>
    </w:p>
    <w:p>
      <w:pPr>
        <w:pStyle w:val="ListBullet"/>
      </w:pPr>
      <w:r>
        <w:t>les champs Date natifs et les champs texte de semaine (EpiWeek) ;</w:t>
      </w:r>
    </w:p>
    <w:p>
      <w:pPr>
        <w:pStyle w:val="ListBullet"/>
      </w:pPr>
      <w:r>
        <w:t>les semaines ISO et les semaines épidémiologiques relatives ;</w:t>
      </w:r>
    </w:p>
    <w:p>
      <w:pPr>
        <w:pStyle w:val="ListBullet"/>
      </w:pPr>
      <w:r>
        <w:t>les agrégations mois/trimestre/année ;</w:t>
      </w:r>
    </w:p>
    <w:p>
      <w:pPr>
        <w:pStyle w:val="ListBullet"/>
      </w:pPr>
      <w:r>
        <w:t>la comparaison de plusieurs années ;</w:t>
      </w:r>
    </w:p>
    <w:p>
      <w:pPr>
        <w:pStyle w:val="ListBullet"/>
      </w:pPr>
      <w:r>
        <w:t>la synchronisation de plusieurs sources ;</w:t>
      </w:r>
    </w:p>
    <w:p>
      <w:pPr>
        <w:pStyle w:val="ListBullet"/>
      </w:pPr>
      <w:r>
        <w:t>le comportement des timelines avec cartes, indicateurs, graphiques et tables ;</w:t>
      </w:r>
    </w:p>
    <w:p>
      <w:pPr>
        <w:pStyle w:val="ListBullet"/>
      </w:pPr>
      <w:r>
        <w:t>le regroupement par champ administratif et la couche virtuelle cartographique ;</w:t>
      </w:r>
    </w:p>
    <w:p>
      <w:pPr>
        <w:pStyle w:val="ListBullet"/>
      </w:pPr>
      <w:r>
        <w:t>les performances avec une line-list réelle anonymisée.</w:t>
      </w:r>
    </w:p>
    <w:p>
      <w:pPr>
        <w:pStyle w:val="Heading2"/>
      </w:pPr>
      <w:r>
        <w:t>2. Pré-requis techniques</w:t>
      </w:r>
    </w:p>
    <w:p>
      <w:pPr>
        <w:pStyle w:val="ListBullet"/>
      </w:pPr>
      <w:r>
        <w:t xml:space="preserve">ArcGIS Experience Builder Developer Edition </w:t>
      </w:r>
      <w:r>
        <w:rPr>
          <w:b/>
        </w:rPr>
        <w:t>1.15</w:t>
      </w:r>
      <w:r>
        <w:t xml:space="preserve"> ;</w:t>
      </w:r>
    </w:p>
    <w:p>
      <w:pPr>
        <w:pStyle w:val="ListBullet"/>
      </w:pPr>
      <w:r>
        <w:t>une organisation ArcGIS Online ou ArcGIS Enterprise ;</w:t>
      </w:r>
    </w:p>
    <w:p>
      <w:pPr>
        <w:pStyle w:val="ListBullet"/>
      </w:pPr>
      <w:r>
        <w:rPr>
          <w:b/>
        </w:rPr>
        <w:t>Node.js 20 LTS</w:t>
      </w:r>
      <w:r>
        <w:t xml:space="preserve"> pour Experience Builder 1.15 ;</w:t>
      </w:r>
    </w:p>
    <w:p>
      <w:pPr>
        <w:pStyle w:val="ListBullet"/>
      </w:pPr>
      <w:r>
        <w:t>Git, ou une archive du dépôt ;</w:t>
      </w:r>
    </w:p>
    <w:p>
      <w:pPr>
        <w:pStyle w:val="ListBullet"/>
      </w:pPr>
      <w:r>
        <w:t>un compte pouvant lire les Feature Layers et tables de test ;</w:t>
      </w:r>
    </w:p>
    <w:p>
      <w:pPr>
        <w:pStyle w:val="ListBullet"/>
      </w:pPr>
      <w:r>
        <w:t>une carte Experience Builder contenant au moins une couche de test ;</w:t>
      </w:r>
    </w:p>
    <w:p>
      <w:pPr>
        <w:pStyle w:val="ListBullet"/>
      </w:pPr>
      <w:r>
        <w:t xml:space="preserve">pour ExB 1.15, utiliser </w:t>
      </w:r>
      <w:r>
        <w:rPr>
          <w:rFonts w:ascii="Consolas" w:hAnsi="Consolas"/>
          <w:sz w:val="17"/>
        </w:rPr>
        <w:t>npm ci</w:t>
      </w:r>
      <w:r>
        <w:t xml:space="preserve"> (et non </w:t>
      </w:r>
      <w:r>
        <w:rPr>
          <w:rFonts w:ascii="Consolas" w:hAnsi="Consolas"/>
          <w:sz w:val="17"/>
        </w:rPr>
        <w:t>pnpm ci</w:t>
      </w:r>
      <w:r>
        <w:t>).</w:t>
      </w:r>
    </w:p>
    <w:p>
      <w:pPr>
        <w:ind w:left="340"/>
      </w:pPr>
      <w:r>
        <w:rPr>
          <w:b/>
          <w:color w:val="1D4F6E"/>
        </w:rPr>
        <w:t>Version Experience Builder.</w:t>
      </w:r>
      <w:r>
        <w:rPr>
          <w:color w:val="1D4F6E"/>
        </w:rPr>
        <w:t xml:space="preserve"> Le manifeste du widget déclare </w:t>
      </w:r>
      <w:r>
        <w:rPr>
          <w:rFonts w:ascii="Consolas" w:hAnsi="Consolas"/>
          <w:color w:val="1D4F6E"/>
          <w:sz w:val="17"/>
        </w:rPr>
        <w:t>exbVersion: "1.14.0"</w:t>
      </w:r>
      <w:r>
        <w:rPr>
          <w:color w:val="1D4F6E"/>
        </w:rPr>
        <w:t xml:space="preserve"> alors que ce guide cible ExB 1.15. Si le GIS Centre constate une incompatibilité de compilation, le signaler : c'est le point à arbitrer avant la campagne (écart E4 du dossier de proposition).</w:t>
      </w:r>
    </w:p>
    <w:p>
      <w:pPr>
        <w:pStyle w:val="Heading2"/>
      </w:pPr>
      <w:r>
        <w:t>3. Installation locale</w:t>
      </w:r>
    </w:p>
    <w:p>
      <w:r>
        <w:t>Récupérer la référence de test :</w:t>
      </w:r>
    </w:p>
    <w:p>
      <w:r>
        <w:rPr>
          <w:rFonts w:ascii="Consolas" w:hAnsi="Consolas"/>
          <w:sz w:val="17"/>
        </w:rPr>
        <w:t>git clone https://github.com/pratisig/Exb_EPI_Widgets.git</w:t>
        <w:br/>
        <w:t>cd Exb_EPI_Widgets</w:t>
        <w:br/>
        <w:t>git checkout arena/01a0aaf8-exb-epi-widgets</w:t>
        <w:br/>
        <w:t>git log -1 --oneline</w:t>
      </w:r>
    </w:p>
    <w:p>
      <w:r>
        <w:rPr>
          <w:rFonts w:ascii="Consolas" w:hAnsi="Consolas"/>
          <w:sz w:val="17"/>
        </w:rPr>
        <w:t>Copy-Item `</w:t>
        <w:br/>
        <w:t xml:space="preserve">  ".\widgets\epi-aggregator" `</w:t>
        <w:br/>
        <w:t xml:space="preserve">  "C:\Chemin\ArcGISExperienceBuilder\client\your-extensions\widgets\epi-aggregator" `</w:t>
        <w:br/>
        <w:t xml:space="preserve">  -Recurse -Force</w:t>
      </w:r>
    </w:p>
    <w:p>
      <w:r>
        <w:t xml:space="preserve">Remplacer </w:t>
      </w:r>
      <w:r>
        <w:rPr>
          <w:rFonts w:ascii="Consolas" w:hAnsi="Consolas"/>
          <w:sz w:val="17"/>
        </w:rPr>
        <w:t>C:\Chemin\ArcGISExperienceBuilder</w:t>
      </w:r>
      <w:r>
        <w:t xml:space="preserve"> par le chemin local réel.</w:t>
      </w:r>
    </w:p>
    <w:p>
      <w:pPr>
        <w:pStyle w:val="Heading3"/>
      </w:pPr>
      <w:r>
        <w:t>Voie rapide (Windows)</w:t>
      </w:r>
    </w:p>
    <w:p>
      <w:r>
        <w:t xml:space="preserve">Le script </w:t>
      </w:r>
      <w:r>
        <w:rPr>
          <w:rFonts w:ascii="Consolas" w:hAnsi="Consolas"/>
          <w:sz w:val="17"/>
        </w:rPr>
        <w:t>tools\Start-ExperienceBuilder.ps1</w:t>
      </w:r>
      <w:r>
        <w:t xml:space="preserve"> active Node 20, installe les dépendances si nécessaire, copie le widget et ouvre les deux fenêtres de service :</w:t>
      </w:r>
    </w:p>
    <w:p>
      <w:r>
        <w:rPr>
          <w:rFonts w:ascii="Consolas" w:hAnsi="Consolas"/>
          <w:sz w:val="17"/>
        </w:rPr>
        <w:t>.\tools\Start-ExperienceBuilder.ps1 `</w:t>
        <w:br/>
        <w:t xml:space="preserve">  -ExperienceBuilderPath "C:\Chemin\ArcGISExperienceBuilder" `</w:t>
        <w:br/>
        <w:t xml:space="preserve">  -InstallDependencies -CopyWidget</w:t>
      </w:r>
    </w:p>
    <w:p>
      <w:r>
        <w:t>Conserver les deux fenêtres PowerShell ouvertes pendant toute la session.</w:t>
      </w:r>
    </w:p>
    <w:p>
      <w:pPr>
        <w:pStyle w:val="Heading3"/>
      </w:pPr>
      <w:r>
        <w:t>Contrôle d'intégrité de la copie</w:t>
      </w:r>
    </w:p>
    <w:p>
      <w:r>
        <w:t>Le widget doit contenir :</w:t>
      </w:r>
    </w:p>
    <w:p>
      <w:r>
        <w:rPr>
          <w:rFonts w:ascii="Consolas" w:hAnsi="Consolas"/>
          <w:sz w:val="17"/>
        </w:rPr>
        <w:t>icon.svg</w:t>
        <w:br/>
        <w:t>manifest.json</w:t>
        <w:br/>
        <w:t>config.json</w:t>
        <w:br/>
        <w:t>src\config.ts</w:t>
        <w:br/>
        <w:t>src\runtime\widget.tsx</w:t>
        <w:br/>
        <w:t>src\runtime\aggregation.ts</w:t>
        <w:br/>
        <w:t>src\runtime\comparison.ts</w:t>
        <w:br/>
        <w:t>src\runtime\spatialAggregation.ts</w:t>
        <w:br/>
        <w:t>src\runtime\virtualLayer.ts</w:t>
        <w:br/>
        <w:t>src\runtime\style.css</w:t>
        <w:br/>
        <w:t>src\setting\setting.tsx</w:t>
        <w:br/>
        <w:t>src\setting\style.css</w:t>
      </w:r>
    </w:p>
    <w:p>
      <w:pPr>
        <w:pStyle w:val="Heading2"/>
      </w:pPr>
      <w:r>
        <w:t>4. Démarrage d'Experience Builder</w:t>
      </w:r>
    </w:p>
    <w:p>
      <w:r>
        <w:t xml:space="preserve">Dans le dossier </w:t>
      </w:r>
      <w:r>
        <w:rPr>
          <w:rFonts w:ascii="Consolas" w:hAnsi="Consolas"/>
          <w:sz w:val="17"/>
        </w:rPr>
        <w:t>server</w:t>
      </w:r>
      <w:r>
        <w:t xml:space="preserve"> : </w:t>
      </w:r>
      <w:r>
        <w:rPr>
          <w:rFonts w:ascii="Consolas" w:hAnsi="Consolas"/>
          <w:sz w:val="17"/>
        </w:rPr>
        <w:t>npm ci</w:t>
      </w:r>
      <w:r>
        <w:t xml:space="preserve"> puis </w:t>
      </w:r>
      <w:r>
        <w:rPr>
          <w:rFonts w:ascii="Consolas" w:hAnsi="Consolas"/>
          <w:sz w:val="17"/>
        </w:rPr>
        <w:t>npm run start</w:t>
      </w:r>
      <w:r>
        <w:t>.</w:t>
      </w:r>
    </w:p>
    <w:p>
      <w:r>
        <w:t xml:space="preserve">Dans le dossier </w:t>
      </w:r>
      <w:r>
        <w:rPr>
          <w:rFonts w:ascii="Consolas" w:hAnsi="Consolas"/>
          <w:sz w:val="17"/>
        </w:rPr>
        <w:t>client</w:t>
      </w:r>
      <w:r>
        <w:t xml:space="preserve"> : </w:t>
      </w:r>
      <w:r>
        <w:rPr>
          <w:rFonts w:ascii="Consolas" w:hAnsi="Consolas"/>
          <w:sz w:val="17"/>
        </w:rPr>
        <w:t>npm ci</w:t>
      </w:r>
      <w:r>
        <w:t xml:space="preserve"> puis </w:t>
      </w:r>
      <w:r>
        <w:rPr>
          <w:rFonts w:ascii="Consolas" w:hAnsi="Consolas"/>
          <w:sz w:val="17"/>
        </w:rPr>
        <w:t>npm run start</w:t>
      </w:r>
      <w:r>
        <w:t>.</w:t>
      </w:r>
    </w:p>
    <w:p>
      <w:r>
        <w:t>Ouvrir :</w:t>
      </w:r>
    </w:p>
    <w:p>
      <w:r>
        <w:rPr>
          <w:rFonts w:ascii="Consolas" w:hAnsi="Consolas"/>
          <w:sz w:val="17"/>
        </w:rPr>
        <w:t>https://localhost:3001/</w:t>
      </w:r>
    </w:p>
    <w:p>
      <w:r>
        <w:t>Pour une organisation Enterprise, renseigner :</w:t>
      </w:r>
    </w:p>
    <w:p>
      <w:r>
        <w:rPr>
          <w:rFonts w:ascii="Consolas" w:hAnsi="Consolas"/>
          <w:sz w:val="17"/>
        </w:rPr>
        <w:t>Portal URL : https://geo.geomsf.org/portal</w:t>
      </w:r>
    </w:p>
    <w:p>
      <w:r>
        <w:t>Le Client ID OAuth doit être créé dans le même portail. L'URI de redirection doit être :</w:t>
      </w:r>
    </w:p>
    <w:p>
      <w:r>
        <w:rPr>
          <w:rFonts w:ascii="Consolas" w:hAnsi="Consolas"/>
          <w:sz w:val="17"/>
        </w:rPr>
        <w:t>https://localhost:3001/jimu-core/oauth-callback.html</w:t>
      </w:r>
    </w:p>
    <w:p>
      <w:r>
        <w:t>Si le portail est derrière CloudFront ou un reverse proxy, l'administrateur doit autoriser et transmettre les paramètres de :</w:t>
      </w:r>
    </w:p>
    <w:p>
      <w:r>
        <w:rPr>
          <w:rFonts w:ascii="Consolas" w:hAnsi="Consolas"/>
          <w:sz w:val="17"/>
        </w:rPr>
        <w:t>/portal/sharing/rest/oauth2/authorize</w:t>
        <w:br/>
        <w:t>/portal/sharing/rest/oauth2/token</w:t>
      </w:r>
    </w:p>
    <w:p>
      <w:pPr>
        <w:pStyle w:val="Heading2"/>
      </w:pPr>
      <w:r>
        <w:t>5. Données de test minimales</w:t>
      </w:r>
    </w:p>
    <w:p>
      <w:r>
        <w:t>Créer une couche ou table de test anonymisée contenant au minimum :</w:t>
      </w:r>
    </w:p>
    <w:p>
      <w:r>
        <w:rPr>
          <w:rFonts w:ascii="Consolas" w:hAnsi="Consolas"/>
          <w:sz w:val="17"/>
        </w:rPr>
        <w:t>case_id       : texte ou identifiant</w:t>
        <w:br/>
        <w:t>onset_date    : Date ou texte EpiWeek</w:t>
        <w:br/>
        <w:t>week_label    : texte (facultatif, pour tester le champ semaine)</w:t>
        <w:br/>
        <w:t>adm1_name     : texte</w:t>
        <w:br/>
        <w:t>status        : texte</w:t>
        <w:br/>
        <w:t>cases         : numérique</w:t>
        <w:br/>
        <w:t>deaths        : numérique</w:t>
      </w:r>
    </w:p>
    <w:p>
      <w:r>
        <w:t>Éviter les données nominatives ou les coordonnées individuelles dans le pilote initial.</w:t>
      </w:r>
    </w:p>
    <w:p>
      <w:r>
        <w:t>Jeu de test recommandé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</w:rPr>
            </w:r>
            <w:r>
              <w:rPr>
                <w:b/>
              </w:rPr>
              <w:t>case_id</w:t>
            </w:r>
          </w:p>
        </w:tc>
        <w:tc>
          <w:tcPr>
            <w:tcW w:type="dxa" w:w="1506"/>
          </w:tcPr>
          <w:p>
            <w:r>
              <w:rPr>
                <w:b/>
              </w:rPr>
            </w:r>
            <w:r>
              <w:rPr>
                <w:b/>
              </w:rPr>
              <w:t>onset_date</w:t>
            </w:r>
          </w:p>
        </w:tc>
        <w:tc>
          <w:tcPr>
            <w:tcW w:type="dxa" w:w="1506"/>
          </w:tcPr>
          <w:p>
            <w:r>
              <w:rPr>
                <w:b/>
              </w:rPr>
            </w:r>
            <w:r>
              <w:rPr>
                <w:b/>
              </w:rPr>
              <w:t>week_label</w:t>
            </w:r>
          </w:p>
        </w:tc>
        <w:tc>
          <w:tcPr>
            <w:tcW w:type="dxa" w:w="1506"/>
          </w:tcPr>
          <w:p>
            <w:r>
              <w:rPr>
                <w:b/>
              </w:rPr>
            </w:r>
            <w:r>
              <w:rPr>
                <w:b/>
              </w:rPr>
              <w:t>adm1_name</w:t>
            </w:r>
          </w:p>
        </w:tc>
        <w:tc>
          <w:tcPr>
            <w:tcW w:type="dxa" w:w="1506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1506"/>
          </w:tcPr>
          <w:p>
            <w:r>
              <w:rPr>
                <w:b/>
              </w:rPr>
            </w:r>
            <w:r>
              <w:rPr>
                <w:b/>
              </w:rPr>
              <w:t>cases</w:t>
            </w:r>
          </w:p>
        </w:tc>
        <w:tc>
          <w:tcPr>
            <w:tcW w:type="dxa" w:w="1506"/>
          </w:tcPr>
          <w:p>
            <w:r>
              <w:rPr>
                <w:b/>
              </w:rPr>
            </w:r>
            <w:r>
              <w:rPr>
                <w:b/>
              </w:rPr>
              <w:t>deaths</w:t>
            </w:r>
          </w:p>
        </w:tc>
      </w:tr>
      <w:tr>
        <w:tc>
          <w:tcPr>
            <w:tcW w:type="dxa" w:w="1506"/>
          </w:tcPr>
          <w:p>
            <w:r/>
            <w:r>
              <w:t>1</w:t>
            </w:r>
          </w:p>
        </w:tc>
        <w:tc>
          <w:tcPr>
            <w:tcW w:type="dxa" w:w="1506"/>
          </w:tcPr>
          <w:p>
            <w:r/>
            <w:r>
              <w:t>2024-01-03</w:t>
            </w:r>
          </w:p>
        </w:tc>
        <w:tc>
          <w:tcPr>
            <w:tcW w:type="dxa" w:w="1506"/>
          </w:tcPr>
          <w:p>
            <w:r/>
            <w:r>
              <w:t>2024-W01</w:t>
            </w:r>
          </w:p>
        </w:tc>
        <w:tc>
          <w:tcPr>
            <w:tcW w:type="dxa" w:w="1506"/>
          </w:tcPr>
          <w:p>
            <w:r/>
            <w:r>
              <w:t>Dakar</w:t>
            </w:r>
          </w:p>
        </w:tc>
        <w:tc>
          <w:tcPr>
            <w:tcW w:type="dxa" w:w="1506"/>
          </w:tcPr>
          <w:p>
            <w:r/>
            <w:r>
              <w:t>Confirmed</w:t>
            </w:r>
          </w:p>
        </w:tc>
        <w:tc>
          <w:tcPr>
            <w:tcW w:type="dxa" w:w="1506"/>
          </w:tcPr>
          <w:p>
            <w:r/>
            <w:r>
              <w:t>1</w:t>
            </w:r>
          </w:p>
        </w:tc>
        <w:tc>
          <w:tcPr>
            <w:tcW w:type="dxa" w:w="1506"/>
          </w:tcPr>
          <w:p>
            <w:r/>
            <w:r>
              <w:t>0</w:t>
            </w:r>
          </w:p>
        </w:tc>
      </w:tr>
      <w:tr>
        <w:tc>
          <w:tcPr>
            <w:tcW w:type="dxa" w:w="1506"/>
          </w:tcPr>
          <w:p>
            <w:r/>
            <w:r>
              <w:t>2</w:t>
            </w:r>
          </w:p>
        </w:tc>
        <w:tc>
          <w:tcPr>
            <w:tcW w:type="dxa" w:w="1506"/>
          </w:tcPr>
          <w:p>
            <w:r/>
            <w:r>
              <w:t>2024-01-05</w:t>
            </w:r>
          </w:p>
        </w:tc>
        <w:tc>
          <w:tcPr>
            <w:tcW w:type="dxa" w:w="1506"/>
          </w:tcPr>
          <w:p>
            <w:r/>
            <w:r>
              <w:t>2024-W01</w:t>
            </w:r>
          </w:p>
        </w:tc>
        <w:tc>
          <w:tcPr>
            <w:tcW w:type="dxa" w:w="1506"/>
          </w:tcPr>
          <w:p>
            <w:r/>
            <w:r>
              <w:t>Dakar</w:t>
            </w:r>
          </w:p>
        </w:tc>
        <w:tc>
          <w:tcPr>
            <w:tcW w:type="dxa" w:w="1506"/>
          </w:tcPr>
          <w:p>
            <w:r/>
            <w:r>
              <w:t>Probable</w:t>
            </w:r>
          </w:p>
        </w:tc>
        <w:tc>
          <w:tcPr>
            <w:tcW w:type="dxa" w:w="1506"/>
          </w:tcPr>
          <w:p>
            <w:r/>
            <w:r>
              <w:t>1</w:t>
            </w:r>
          </w:p>
        </w:tc>
        <w:tc>
          <w:tcPr>
            <w:tcW w:type="dxa" w:w="1506"/>
          </w:tcPr>
          <w:p>
            <w:r/>
            <w:r>
              <w:t>0</w:t>
            </w:r>
          </w:p>
        </w:tc>
      </w:tr>
      <w:tr>
        <w:tc>
          <w:tcPr>
            <w:tcW w:type="dxa" w:w="1506"/>
          </w:tcPr>
          <w:p>
            <w:r/>
            <w:r>
              <w:t>3</w:t>
            </w:r>
          </w:p>
        </w:tc>
        <w:tc>
          <w:tcPr>
            <w:tcW w:type="dxa" w:w="1506"/>
          </w:tcPr>
          <w:p>
            <w:r/>
            <w:r>
              <w:t>2024-01-12</w:t>
            </w:r>
          </w:p>
        </w:tc>
        <w:tc>
          <w:tcPr>
            <w:tcW w:type="dxa" w:w="1506"/>
          </w:tcPr>
          <w:p>
            <w:r/>
            <w:r>
              <w:t>2024-W02</w:t>
            </w:r>
          </w:p>
        </w:tc>
        <w:tc>
          <w:tcPr>
            <w:tcW w:type="dxa" w:w="1506"/>
          </w:tcPr>
          <w:p>
            <w:r/>
            <w:r>
              <w:t>Thiès</w:t>
            </w:r>
          </w:p>
        </w:tc>
        <w:tc>
          <w:tcPr>
            <w:tcW w:type="dxa" w:w="1506"/>
          </w:tcPr>
          <w:p>
            <w:r/>
            <w:r>
              <w:t>Confirmed</w:t>
            </w:r>
          </w:p>
        </w:tc>
        <w:tc>
          <w:tcPr>
            <w:tcW w:type="dxa" w:w="1506"/>
          </w:tcPr>
          <w:p>
            <w:r/>
            <w:r>
              <w:t>1</w:t>
            </w:r>
          </w:p>
        </w:tc>
        <w:tc>
          <w:tcPr>
            <w:tcW w:type="dxa" w:w="1506"/>
          </w:tcPr>
          <w:p>
            <w:r/>
            <w:r>
              <w:t>1</w:t>
            </w:r>
          </w:p>
        </w:tc>
      </w:tr>
      <w:tr>
        <w:tc>
          <w:tcPr>
            <w:tcW w:type="dxa" w:w="1506"/>
          </w:tcPr>
          <w:p>
            <w:r/>
            <w:r>
              <w:t>4</w:t>
            </w:r>
          </w:p>
        </w:tc>
        <w:tc>
          <w:tcPr>
            <w:tcW w:type="dxa" w:w="1506"/>
          </w:tcPr>
          <w:p>
            <w:r/>
            <w:r>
              <w:t>2025-01-20</w:t>
            </w:r>
          </w:p>
        </w:tc>
        <w:tc>
          <w:tcPr>
            <w:tcW w:type="dxa" w:w="1506"/>
          </w:tcPr>
          <w:p>
            <w:r/>
            <w:r>
              <w:t>Week 04-2025</w:t>
            </w:r>
          </w:p>
        </w:tc>
        <w:tc>
          <w:tcPr>
            <w:tcW w:type="dxa" w:w="1506"/>
          </w:tcPr>
          <w:p>
            <w:r/>
            <w:r>
              <w:t>Dakar</w:t>
            </w:r>
          </w:p>
        </w:tc>
        <w:tc>
          <w:tcPr>
            <w:tcW w:type="dxa" w:w="1506"/>
          </w:tcPr>
          <w:p>
            <w:r/>
            <w:r>
              <w:t>Confirmed</w:t>
            </w:r>
          </w:p>
        </w:tc>
        <w:tc>
          <w:tcPr>
            <w:tcW w:type="dxa" w:w="1506"/>
          </w:tcPr>
          <w:p>
            <w:r/>
            <w:r>
              <w:t>1</w:t>
            </w:r>
          </w:p>
        </w:tc>
        <w:tc>
          <w:tcPr>
            <w:tcW w:type="dxa" w:w="1506"/>
          </w:tcPr>
          <w:p>
            <w:r/>
            <w:r>
              <w:t>0</w:t>
            </w:r>
          </w:p>
        </w:tc>
      </w:tr>
      <w:tr>
        <w:tc>
          <w:tcPr>
            <w:tcW w:type="dxa" w:w="1506"/>
          </w:tcPr>
          <w:p>
            <w:r/>
            <w:r>
              <w:t>5</w:t>
            </w:r>
          </w:p>
        </w:tc>
        <w:tc>
          <w:tcPr>
            <w:tcW w:type="dxa" w:w="1506"/>
          </w:tcPr>
          <w:p>
            <w:r/>
            <w:r>
              <w:t>2025-01-24</w:t>
            </w:r>
          </w:p>
        </w:tc>
        <w:tc>
          <w:tcPr>
            <w:tcW w:type="dxa" w:w="1506"/>
          </w:tcPr>
          <w:p>
            <w:r/>
            <w:r>
              <w:t>2025-W04</w:t>
            </w:r>
          </w:p>
        </w:tc>
        <w:tc>
          <w:tcPr>
            <w:tcW w:type="dxa" w:w="1506"/>
          </w:tcPr>
          <w:p>
            <w:r/>
            <w:r>
              <w:t>Thiès</w:t>
            </w:r>
          </w:p>
        </w:tc>
        <w:tc>
          <w:tcPr>
            <w:tcW w:type="dxa" w:w="1506"/>
          </w:tcPr>
          <w:p>
            <w:r/>
            <w:r>
              <w:t>Suspected</w:t>
            </w:r>
          </w:p>
        </w:tc>
        <w:tc>
          <w:tcPr>
            <w:tcW w:type="dxa" w:w="1506"/>
          </w:tcPr>
          <w:p>
            <w:r/>
            <w:r>
              <w:t>1</w:t>
            </w:r>
          </w:p>
        </w:tc>
        <w:tc>
          <w:tcPr>
            <w:tcW w:type="dxa" w:w="1506"/>
          </w:tcPr>
          <w:p>
            <w:r/>
            <w:r>
              <w:t>0</w:t>
            </w:r>
          </w:p>
        </w:tc>
      </w:tr>
    </w:tbl>
    <w:p>
      <w:r>
        <w:t xml:space="preserve">Pour tester les années, utiliser </w:t>
      </w:r>
      <w:r>
        <w:rPr>
          <w:b/>
        </w:rPr>
        <w:t>au moins trois années</w:t>
      </w:r>
      <w:r>
        <w:t xml:space="preserve"> et plusieurs périodes par année. Supprimer volontairement une semaine au milieu de la série pour le scénario F.</w:t>
      </w:r>
    </w:p>
    <w:p>
      <w:pPr>
        <w:pStyle w:val="Heading2"/>
      </w:pPr>
      <w:r>
        <w:t>6. Configuration du widget</w:t>
      </w:r>
    </w:p>
    <w:p>
      <w:r>
        <w:t>1. Ajouter Epi Aggregator à une expérience.</w:t>
      </w:r>
    </w:p>
    <w:p>
      <w:r>
        <w:t xml:space="preserve">2. Ouvrir le panneau </w:t>
      </w:r>
      <w:r>
        <w:rPr>
          <w:b/>
        </w:rPr>
        <w:t>Contenu</w:t>
      </w:r>
      <w:r>
        <w:t>.</w:t>
      </w:r>
    </w:p>
    <w:p>
      <w:r>
        <w:t>3. Sélectionner une ou plusieurs sources.</w:t>
      </w:r>
    </w:p>
    <w:p>
      <w:r>
        <w:t xml:space="preserve">4. Pour chaque source, choisir le </w:t>
      </w:r>
      <w:r>
        <w:rPr>
          <w:b/>
        </w:rPr>
        <w:t>champ date ou semaine</w:t>
      </w:r>
      <w:r>
        <w:t xml:space="preserve"> détecté.</w:t>
      </w:r>
    </w:p>
    <w:p>
      <w:pPr>
        <w:pStyle w:val="ListBullet"/>
      </w:pPr>
      <w:r>
        <w:t xml:space="preserve">Pour un champ </w:t>
      </w:r>
      <w:r>
        <w:rPr>
          <w:b/>
        </w:rPr>
        <w:t>Date</w:t>
      </w:r>
      <w:r>
        <w:t xml:space="preserve"> natif, rien de plus : le filtrage de la source est disponible.</w:t>
      </w:r>
    </w:p>
    <w:p>
      <w:pPr>
        <w:pStyle w:val="ListBullet"/>
      </w:pPr>
      <w:r>
        <w:t xml:space="preserve">Pour un champ </w:t>
      </w:r>
      <w:r>
        <w:rPr>
          <w:b/>
        </w:rPr>
        <w:t>texte</w:t>
      </w:r>
      <w:r>
        <w:t xml:space="preserve">, activer </w:t>
      </w:r>
      <w:r>
        <w:rPr>
          <w:b/>
        </w:rPr>
        <w:t>Afficher aussi les champs texte (semaines EpiWeek…)</w:t>
      </w:r>
      <w:r>
        <w:t xml:space="preserve"> puis sélectionner le champ. Le widget signale alors que le filtrage est désactivé.</w:t>
      </w:r>
    </w:p>
    <w:p>
      <w:r>
        <w:t>5. Choisir une statistique :</w:t>
      </w:r>
    </w:p>
    <w:p>
      <w:pPr>
        <w:pStyle w:val="ListBullet"/>
      </w:pPr>
      <w:r>
        <w:t>Count ;</w:t>
      </w:r>
    </w:p>
    <w:p>
      <w:pPr>
        <w:pStyle w:val="ListBullet"/>
      </w:pPr>
      <w:r>
        <w:t>Sum ;</w:t>
      </w:r>
    </w:p>
    <w:p>
      <w:pPr>
        <w:pStyle w:val="ListBullet"/>
      </w:pPr>
      <w:r>
        <w:t>Mean ;</w:t>
      </w:r>
    </w:p>
    <w:p>
      <w:pPr>
        <w:pStyle w:val="ListBullet"/>
      </w:pPr>
      <w:r>
        <w:t>Median ;</w:t>
      </w:r>
    </w:p>
    <w:p>
      <w:pPr>
        <w:pStyle w:val="ListBullet"/>
      </w:pPr>
      <w:r>
        <w:t>Min ;</w:t>
      </w:r>
    </w:p>
    <w:p>
      <w:pPr>
        <w:pStyle w:val="ListBullet"/>
      </w:pPr>
      <w:r>
        <w:t>Max ;</w:t>
      </w:r>
    </w:p>
    <w:p>
      <w:pPr>
        <w:pStyle w:val="ListBullet"/>
      </w:pPr>
      <w:r>
        <w:t>First ;</w:t>
      </w:r>
    </w:p>
    <w:p>
      <w:pPr>
        <w:pStyle w:val="ListBullet"/>
      </w:pPr>
      <w:r>
        <w:t>Last ;</w:t>
      </w:r>
    </w:p>
    <w:p>
      <w:pPr>
        <w:pStyle w:val="ListBullet"/>
      </w:pPr>
      <w:r>
        <w:t>Distinct.</w:t>
      </w:r>
    </w:p>
    <w:p>
      <w:r>
        <w:t>6. Choisir le champ numérique, date ou texte selon la statistique.</w:t>
      </w:r>
    </w:p>
    <w:p>
      <w:r>
        <w:t>7. Choisir l’agrégation temporelle.</w:t>
      </w:r>
    </w:p>
    <w:p>
      <w:r>
        <w:t>8. Choisir le mode de filtre : période unique, progressif/cumulatif ou toutes les données.</w:t>
      </w:r>
    </w:p>
    <w:p>
      <w:r>
        <w:t xml:space="preserve">9. Choisir l’affichage : </w:t>
      </w:r>
      <w:r>
        <w:rPr>
          <w:b/>
        </w:rPr>
        <w:t>Timeline uniquement</w:t>
      </w:r>
      <w:r>
        <w:t xml:space="preserve"> ou </w:t>
      </w:r>
      <w:r>
        <w:rPr>
          <w:b/>
        </w:rPr>
        <w:t>Timeline et détails des sources</w:t>
      </w:r>
      <w:r>
        <w:t>.</w:t>
      </w:r>
    </w:p>
    <w:p>
      <w:r>
        <w:t>Pour le regroupement spatial, choisir :</w:t>
      </w:r>
    </w:p>
    <w:p>
      <w:r>
        <w:rPr>
          <w:rFonts w:ascii="Consolas" w:hAnsi="Consolas"/>
          <w:sz w:val="17"/>
        </w:rPr>
        <w:t>Champ de regroupement spatial : adm1_name</w:t>
      </w:r>
    </w:p>
    <w:p>
      <w:r>
        <w:t>Pour une couche frontière séparée, utiliser :</w:t>
      </w:r>
    </w:p>
    <w:p>
      <w:r>
        <w:rPr>
          <w:rFonts w:ascii="Consolas" w:hAnsi="Consolas"/>
          <w:sz w:val="17"/>
        </w:rPr>
        <w:t>Couche frontière / géométrie</w:t>
      </w:r>
    </w:p>
    <w:p>
      <w:r>
        <w:t>puis sélectionner le champ administratif correspondant.</w:t>
      </w:r>
    </w:p>
    <w:p>
      <w:pPr>
        <w:pStyle w:val="Heading2"/>
      </w:pPr>
      <w:r>
        <w:t>7. Scénarios de test fonctionnels</w:t>
      </w:r>
    </w:p>
    <w:p>
      <w:r>
        <w:t>Chaque scénario est rattaché au test correspondant de la grille T1–T15 du dossier de proposition.</w:t>
      </w:r>
    </w:p>
    <w:p>
      <w:pPr>
        <w:pStyle w:val="Heading3"/>
      </w:pPr>
      <w:r>
        <w:t>Scénario A — Installation et compilation (T1)</w:t>
      </w:r>
    </w:p>
    <w:p>
      <w:r>
        <w:t xml:space="preserve">Copier le widget, lancer </w:t>
      </w:r>
      <w:r>
        <w:rPr>
          <w:rFonts w:ascii="Consolas" w:hAnsi="Consolas"/>
          <w:sz w:val="17"/>
        </w:rPr>
        <w:t>npm ci</w:t>
      </w:r>
      <w:r>
        <w:t xml:space="preserve"> puis </w:t>
      </w:r>
      <w:r>
        <w:rPr>
          <w:rFonts w:ascii="Consolas" w:hAnsi="Consolas"/>
          <w:sz w:val="17"/>
        </w:rPr>
        <w:t>npm run start</w:t>
      </w:r>
      <w:r>
        <w:t xml:space="preserve"> dans </w:t>
      </w:r>
      <w:r>
        <w:rPr>
          <w:rFonts w:ascii="Consolas" w:hAnsi="Consolas"/>
          <w:sz w:val="17"/>
        </w:rPr>
        <w:t>server</w:t>
      </w:r>
      <w:r>
        <w:t xml:space="preserve"> et </w:t>
      </w:r>
      <w:r>
        <w:rPr>
          <w:rFonts w:ascii="Consolas" w:hAnsi="Consolas"/>
          <w:sz w:val="17"/>
        </w:rPr>
        <w:t>client</w:t>
      </w:r>
      <w:r>
        <w:t>.</w:t>
      </w:r>
    </w:p>
    <w:p>
      <w:r>
        <w:rPr>
          <w:b/>
        </w:rPr>
        <w:t>Résultat attendu :</w:t>
      </w:r>
      <w:r>
        <w:t xml:space="preserve"> le widget apparaît dans le panneau des widgets, sans erreur bloquante de compilation ni erreur dans la console du navigateur.</w:t>
      </w:r>
    </w:p>
    <w:p>
      <w:pPr>
        <w:pStyle w:val="Heading3"/>
      </w:pPr>
      <w:r>
        <w:t>Scénario B — Champ Date natif et semaine ISO (T3, T4)</w:t>
      </w:r>
    </w:p>
    <w:p>
      <w:pPr>
        <w:pStyle w:val="ListBullet"/>
      </w:pPr>
      <w:r>
        <w:t>Agrégation : semaine ISO ;</w:t>
      </w:r>
    </w:p>
    <w:p>
      <w:pPr>
        <w:pStyle w:val="ListBullet"/>
      </w:pPr>
      <w:r>
        <w:t xml:space="preserve">une source avec </w:t>
      </w:r>
      <w:r>
        <w:rPr>
          <w:rFonts w:ascii="Consolas" w:hAnsi="Consolas"/>
          <w:sz w:val="17"/>
        </w:rPr>
        <w:t>onset_date</w:t>
      </w:r>
      <w:r>
        <w:t xml:space="preserve"> de type </w:t>
      </w:r>
      <w:r>
        <w:rPr>
          <w:rFonts w:ascii="Consolas" w:hAnsi="Consolas"/>
          <w:sz w:val="17"/>
        </w:rPr>
        <w:t>esriFieldTypeDate</w:t>
      </w:r>
      <w:r>
        <w:t xml:space="preserve"> ;</w:t>
      </w:r>
    </w:p>
    <w:p>
      <w:pPr>
        <w:pStyle w:val="ListBullet"/>
      </w:pPr>
      <w:r>
        <w:t>statistique : Count ;</w:t>
      </w:r>
    </w:p>
    <w:p>
      <w:pPr>
        <w:pStyle w:val="ListBullet"/>
      </w:pPr>
      <w:r>
        <w:t>inclure une année comportant une semaine 53.</w:t>
      </w:r>
    </w:p>
    <w:p>
      <w:r>
        <w:rPr>
          <w:b/>
        </w:rPr>
        <w:t>Résultat attendu :</w:t>
      </w:r>
      <w:r>
        <w:t xml:space="preserve"> le champ est détecté automatiquement, les semaines sont exactes, les bornes vont du lundi au dimanche et la semaine 53 n'est pas tronquée.</w:t>
      </w:r>
    </w:p>
    <w:p>
      <w:pPr>
        <w:pStyle w:val="Heading3"/>
      </w:pPr>
      <w:r>
        <w:t>Scénario C — Champ texte semaine EpiWeek (T14) — *nouveauté*</w:t>
      </w:r>
    </w:p>
    <w:p>
      <w:pPr>
        <w:pStyle w:val="ListBullet"/>
      </w:pPr>
      <w:r>
        <w:t xml:space="preserve">Activer </w:t>
      </w:r>
      <w:r>
        <w:rPr>
          <w:b/>
        </w:rPr>
        <w:t>Afficher aussi les champs texte</w:t>
      </w:r>
      <w:r>
        <w:t xml:space="preserve"> ;</w:t>
      </w:r>
    </w:p>
    <w:p>
      <w:pPr>
        <w:pStyle w:val="ListBullet"/>
      </w:pPr>
      <w:r>
        <w:t xml:space="preserve">sélectionner </w:t>
      </w:r>
      <w:r>
        <w:rPr>
          <w:rFonts w:ascii="Consolas" w:hAnsi="Consolas"/>
          <w:sz w:val="17"/>
        </w:rPr>
        <w:t>week_label</w:t>
      </w:r>
      <w:r>
        <w:t xml:space="preserve"> (valeurs </w:t>
      </w:r>
      <w:r>
        <w:rPr>
          <w:rFonts w:ascii="Consolas" w:hAnsi="Consolas"/>
          <w:sz w:val="17"/>
        </w:rPr>
        <w:t>2024-W01</w:t>
      </w:r>
      <w:r>
        <w:t xml:space="preserve">, </w:t>
      </w:r>
      <w:r>
        <w:rPr>
          <w:rFonts w:ascii="Consolas" w:hAnsi="Consolas"/>
          <w:sz w:val="17"/>
        </w:rPr>
        <w:t>Week 04-2025</w:t>
      </w:r>
      <w:r>
        <w:t xml:space="preserve">, </w:t>
      </w:r>
      <w:r>
        <w:rPr>
          <w:rFonts w:ascii="Consolas" w:hAnsi="Consolas"/>
          <w:sz w:val="17"/>
        </w:rPr>
        <w:t>2025-W04</w:t>
      </w:r>
      <w:r>
        <w:t>) ;</w:t>
      </w:r>
    </w:p>
    <w:p>
      <w:pPr>
        <w:pStyle w:val="ListBullet"/>
      </w:pPr>
      <w:r>
        <w:t>statistique : Count.</w:t>
      </w:r>
    </w:p>
    <w:p>
      <w:r>
        <w:rPr>
          <w:b/>
        </w:rPr>
        <w:t>Résultat attendu :</w:t>
      </w:r>
    </w:p>
    <w:p>
      <w:pPr>
        <w:pStyle w:val="ListBullet"/>
      </w:pPr>
      <w:r>
        <w:t>les libellés sont normalisés en semaine ISO et agrégés correctement ;</w:t>
      </w:r>
    </w:p>
    <w:p>
      <w:pPr>
        <w:pStyle w:val="ListBullet"/>
      </w:pPr>
      <w:r>
        <w:t>le widget affiche l'avertissement « Champ texte semaine : … le filtrage … nécessite un champ Date natif » ;</w:t>
      </w:r>
    </w:p>
    <w:p>
      <w:pPr>
        <w:pStyle w:val="ListBullet"/>
      </w:pPr>
      <w:r>
        <w:t>aucune requête temporelle n'est envoyée à la source (vérifier dans les requêtes réseau) ;</w:t>
      </w:r>
    </w:p>
    <w:p>
      <w:pPr>
        <w:pStyle w:val="ListBullet"/>
      </w:pPr>
      <w:r>
        <w:t>l'avertissement apparaît aussi dans le panneau Contenu.</w:t>
      </w:r>
    </w:p>
    <w:p>
      <w:pPr>
        <w:pStyle w:val="Heading3"/>
      </w:pPr>
      <w:r>
        <w:t>Scénario D — Timeline liée et filtres (T5)</w:t>
      </w:r>
    </w:p>
    <w:p>
      <w:pPr>
        <w:pStyle w:val="ListBullet"/>
      </w:pPr>
      <w:r>
        <w:t>Agrégation : semaine ISO, une source, statistique Count ;</w:t>
      </w:r>
    </w:p>
    <w:p>
      <w:pPr>
        <w:pStyle w:val="ListBullet"/>
      </w:pPr>
      <w:r>
        <w:t>cliquer plusieurs périodes ;</w:t>
      </w:r>
    </w:p>
    <w:p>
      <w:pPr>
        <w:pStyle w:val="ListBullet"/>
      </w:pPr>
      <w:r>
        <w:t>tester successivement les trois modes de filtre.</w:t>
      </w:r>
    </w:p>
    <w:p>
      <w:r>
        <w:rPr>
          <w:b/>
        </w:rPr>
        <w:t>Résultat attendu :</w:t>
      </w:r>
      <w:r>
        <w:t xml:space="preserve"> la période active et le filtre changent sans recharger l'expérience. En mode progressif, toutes les périodes depuis la première sont conservées ; en mode période unique, seule la période active ; en mode toutes les données, aucune restriction.</w:t>
      </w:r>
    </w:p>
    <w:p>
      <w:pPr>
        <w:pStyle w:val="Heading3"/>
      </w:pPr>
      <w:r>
        <w:t>Scénario E — Timeline de source, cumulé et repli (T5) — *nouveauté*</w:t>
      </w:r>
    </w:p>
    <w:p>
      <w:pPr>
        <w:pStyle w:val="ListBullet"/>
      </w:pPr>
      <w:r>
        <w:t xml:space="preserve">Afficher le widget en </w:t>
      </w:r>
      <w:r>
        <w:rPr>
          <w:b/>
        </w:rPr>
        <w:t>Timeline et détails des sources</w:t>
      </w:r>
      <w:r>
        <w:t xml:space="preserve">, puis en </w:t>
      </w:r>
      <w:r>
        <w:rPr>
          <w:b/>
        </w:rPr>
        <w:t>Timeline uniquement</w:t>
      </w:r>
      <w:r>
        <w:t xml:space="preserve"> ;</w:t>
      </w:r>
    </w:p>
    <w:p>
      <w:pPr>
        <w:pStyle w:val="ListBullet"/>
      </w:pPr>
      <w:r>
        <w:t>avancer avec les boutons et le curseur ;</w:t>
      </w:r>
    </w:p>
    <w:p>
      <w:pPr>
        <w:pStyle w:val="ListBullet"/>
      </w:pPr>
      <w:r>
        <w:t xml:space="preserve">activer </w:t>
      </w:r>
      <w:r>
        <w:rPr>
          <w:b/>
        </w:rPr>
        <w:t>Cumulé</w:t>
      </w:r>
      <w:r>
        <w:t xml:space="preserve"> puis </w:t>
      </w:r>
      <w:r>
        <w:rPr>
          <w:b/>
        </w:rPr>
        <w:t>Brut</w:t>
      </w:r>
      <w:r>
        <w:t xml:space="preserve"> ;</w:t>
      </w:r>
    </w:p>
    <w:p>
      <w:pPr>
        <w:pStyle w:val="ListBullet"/>
      </w:pPr>
      <w:r>
        <w:t xml:space="preserve">cliquer sur </w:t>
      </w:r>
      <w:r>
        <w:rPr>
          <w:b/>
        </w:rPr>
        <w:t>Masquer les périodes</w:t>
      </w:r>
      <w:r>
        <w:t xml:space="preserve">, puis </w:t>
      </w:r>
      <w:r>
        <w:rPr>
          <w:b/>
        </w:rPr>
        <w:t>Afficher les périodes</w:t>
      </w:r>
      <w:r>
        <w:t xml:space="preserve"> ;</w:t>
      </w:r>
    </w:p>
    <w:p>
      <w:pPr>
        <w:pStyle w:val="ListBullet"/>
      </w:pPr>
      <w:r>
        <w:t xml:space="preserve">utiliser </w:t>
      </w:r>
      <w:r>
        <w:rPr>
          <w:b/>
        </w:rPr>
        <w:t>Lire/Arrêter</w:t>
      </w:r>
      <w:r>
        <w:t xml:space="preserve"> et les trois vitesses.</w:t>
      </w:r>
    </w:p>
    <w:p>
      <w:r>
        <w:rPr>
          <w:b/>
        </w:rPr>
        <w:t>Résultat attendu :</w:t>
      </w:r>
    </w:p>
    <w:p>
      <w:pPr>
        <w:pStyle w:val="ListBullet"/>
      </w:pPr>
      <w:r>
        <w:t>les valeurs affichées sur les boutons passent de la valeur de période au cumulé ;</w:t>
      </w:r>
    </w:p>
    <w:p>
      <w:pPr>
        <w:pStyle w:val="ListBullet"/>
      </w:pPr>
      <w:r>
        <w:t>le bouton Cumulé est désactivé pour les statistiques non numériques (First, Last, Distinct) ;</w:t>
      </w:r>
    </w:p>
    <w:p>
      <w:pPr>
        <w:pStyle w:val="ListBullet"/>
      </w:pPr>
      <w:r>
        <w:t>le repli masque les boutons sans désactiver le curseur ni la période active ;</w:t>
      </w:r>
    </w:p>
    <w:p>
      <w:pPr>
        <w:pStyle w:val="ListBullet"/>
      </w:pPr>
      <w:r>
        <w:t>les douze premières périodes affichent la liste dépliée, au-delà la liste se replie automatiquement ;</w:t>
      </w:r>
    </w:p>
    <w:p>
      <w:pPr>
        <w:pStyle w:val="ListBullet"/>
      </w:pPr>
      <w:r>
        <w:t>avec une seule source, le mode compact n'affiche que la timeline liée ; avec deux sources, chaque source garde sa timeline compacte.</w:t>
      </w:r>
    </w:p>
    <w:p>
      <w:pPr>
        <w:pStyle w:val="Heading3"/>
      </w:pPr>
      <w:r>
        <w:t>Scénario F — Périodes manquantes (T6)</w:t>
      </w:r>
    </w:p>
    <w:p>
      <w:r>
        <w:t>Supprimer les lignes d'une semaine au milieu de la série et activer :</w:t>
      </w:r>
    </w:p>
    <w:p>
      <w:r>
        <w:rPr>
          <w:rFonts w:ascii="Consolas" w:hAnsi="Consolas"/>
          <w:sz w:val="17"/>
        </w:rPr>
        <w:t>Créer des périodes à zéro</w:t>
      </w:r>
    </w:p>
    <w:p>
      <w:r>
        <w:rPr>
          <w:b/>
        </w:rPr>
        <w:t>Résultat attendu :</w:t>
      </w:r>
      <w:r>
        <w:t xml:space="preserve"> la semaine absente apparaît avec une valeur zéro, sans être confondue avec une absence de notification.</w:t>
      </w:r>
    </w:p>
    <w:p>
      <w:pPr>
        <w:pStyle w:val="Heading3"/>
      </w:pPr>
      <w:r>
        <w:t>Scénario G — Comparaison des années (T10)</w:t>
      </w:r>
    </w:p>
    <w:p>
      <w:pPr>
        <w:pStyle w:val="ListBullet"/>
      </w:pPr>
      <w:r>
        <w:t>données 2023, 2024 et 2025 ;</w:t>
      </w:r>
    </w:p>
    <w:p>
      <w:pPr>
        <w:pStyle w:val="ListBullet"/>
      </w:pPr>
      <w:r>
        <w:t xml:space="preserve">mode : </w:t>
      </w:r>
      <w:r>
        <w:rPr>
          <w:b/>
        </w:rPr>
        <w:t>Comparer les années</w:t>
      </w:r>
      <w:r>
        <w:t xml:space="preserve"> ;</w:t>
      </w:r>
    </w:p>
    <w:p>
      <w:pPr>
        <w:pStyle w:val="ListBullet"/>
      </w:pPr>
      <w:r>
        <w:t xml:space="preserve">années : </w:t>
      </w:r>
      <w:r>
        <w:rPr>
          <w:rFonts w:ascii="Consolas" w:hAnsi="Consolas"/>
          <w:sz w:val="17"/>
        </w:rPr>
        <w:t>2023, 2024, 2025</w:t>
      </w:r>
      <w:r>
        <w:t xml:space="preserve"> ;</w:t>
      </w:r>
    </w:p>
    <w:p>
      <w:pPr>
        <w:pStyle w:val="ListBullet"/>
      </w:pPr>
      <w:r>
        <w:t xml:space="preserve">année de référence : </w:t>
      </w:r>
      <w:r>
        <w:rPr>
          <w:rFonts w:ascii="Consolas" w:hAnsi="Consolas"/>
          <w:sz w:val="17"/>
        </w:rPr>
        <w:t>2024</w:t>
      </w:r>
      <w:r>
        <w:t>.</w:t>
      </w:r>
    </w:p>
    <w:p>
      <w:r>
        <w:rPr>
          <w:b/>
        </w:rPr>
        <w:t>Résultat attendu :</w:t>
      </w:r>
      <w:r>
        <w:t xml:space="preserve"> les périodes comparables sont alignées, les colonnes delta et % sont cohérentes et les valeurs absentes sont affichées </w:t>
      </w:r>
      <w:r>
        <w:rPr>
          <w:rFonts w:ascii="Consolas" w:hAnsi="Consolas"/>
          <w:sz w:val="17"/>
        </w:rPr>
        <w:t>—</w:t>
      </w:r>
      <w:r>
        <w:t>.</w:t>
      </w:r>
    </w:p>
    <w:p>
      <w:pPr>
        <w:pStyle w:val="Heading3"/>
      </w:pPr>
      <w:r>
        <w:t>Scénario H — Plusieurs sources et timeline liée (T9)</w:t>
      </w:r>
    </w:p>
    <w:p>
      <w:r>
        <w:t xml:space="preserve">Ajouter une source Cas (Count) et une source Décès (Sum sur </w:t>
      </w:r>
      <w:r>
        <w:rPr>
          <w:rFonts w:ascii="Consolas" w:hAnsi="Consolas"/>
          <w:sz w:val="17"/>
        </w:rPr>
        <w:t>deaths</w:t>
      </w:r>
      <w:r>
        <w:t>) avec la même clé temporelle.</w:t>
      </w:r>
    </w:p>
    <w:p>
      <w:r>
        <w:rPr>
          <w:b/>
        </w:rPr>
        <w:t>Résultat attendu :</w:t>
      </w:r>
      <w:r>
        <w:t xml:space="preserve"> la timeline liée filtre les deux sources ensemble ; les totaux, pics et périodes ne se mélangent pas.</w:t>
      </w:r>
    </w:p>
    <w:p>
      <w:pPr>
        <w:pStyle w:val="Heading3"/>
      </w:pPr>
      <w:r>
        <w:t>Scénario I — Regroupement administratif et export par zone (T7)</w:t>
      </w:r>
    </w:p>
    <w:p>
      <w:r>
        <w:t>Configurer :</w:t>
      </w:r>
    </w:p>
    <w:p>
      <w:r>
        <w:rPr>
          <w:rFonts w:ascii="Consolas" w:hAnsi="Consolas"/>
          <w:sz w:val="17"/>
        </w:rPr>
        <w:t>Champ de regroupement spatial : adm1_name</w:t>
      </w:r>
    </w:p>
    <w:p>
      <w:r>
        <w:t>Vérifier dans le CSV la présence de :</w:t>
      </w:r>
    </w:p>
    <w:p>
      <w:r>
        <w:rPr>
          <w:rFonts w:ascii="Consolas" w:hAnsi="Consolas"/>
          <w:sz w:val="17"/>
        </w:rPr>
        <w:t>boundary,period,label,count,value,start,end</w:t>
      </w:r>
    </w:p>
    <w:p>
      <w:r>
        <w:rPr>
          <w:b/>
        </w:rPr>
        <w:t>Résultat attendu :</w:t>
      </w:r>
      <w:r>
        <w:t xml:space="preserve"> une ligne par zone et par période, cohérente avec les valeurs du widget ; le compteur d'agrégats zone × période est affiché dans la carte de la source.</w:t>
      </w:r>
    </w:p>
    <w:p>
      <w:pPr>
        <w:pStyle w:val="Heading3"/>
      </w:pPr>
      <w:r>
        <w:t>Scénario J — Carte, symbologie et couche virtuelle (T8)</w:t>
      </w:r>
    </w:p>
    <w:p>
      <w:r>
        <w:t>Configurer la symbologie dans la carte, pas dans le widget :</w:t>
      </w:r>
    </w:p>
    <w:p>
      <w:pPr>
        <w:pStyle w:val="ListBullet"/>
      </w:pPr>
      <w:r>
        <w:t>cercles proportionnels pour les points ;</w:t>
      </w:r>
    </w:p>
    <w:p>
      <w:pPr>
        <w:pStyle w:val="ListBullet"/>
      </w:pPr>
      <w:r>
        <w:t>couleurs graduées pour les polygones ;</w:t>
      </w:r>
    </w:p>
    <w:p>
      <w:pPr>
        <w:pStyle w:val="ListBullet"/>
      </w:pPr>
      <w:r>
        <w:t>variables visuelles existantes ;</w:t>
      </w:r>
    </w:p>
    <w:p>
      <w:pPr>
        <w:pStyle w:val="ListBullet"/>
      </w:pPr>
      <w:r>
        <w:t>échelle dynamique ou fixe dans le widget.</w:t>
      </w:r>
    </w:p>
    <w:p>
      <w:r>
        <w:t>Sélectionner une couche frontière, puis déplacer la timeline.</w:t>
      </w:r>
    </w:p>
    <w:p>
      <w:r>
        <w:rPr>
          <w:b/>
        </w:rPr>
        <w:t>Résultat attendu :</w:t>
      </w:r>
    </w:p>
    <w:p>
      <w:pPr>
        <w:pStyle w:val="ListBullet"/>
      </w:pPr>
      <w:r>
        <w:t>le filtre temporel et les variables visuelles réagissent à la période active ;</w:t>
      </w:r>
    </w:p>
    <w:p>
      <w:pPr>
        <w:pStyle w:val="ListBullet"/>
      </w:pPr>
      <w:r>
        <w:t xml:space="preserve">une couche temporaire par période est produite avec </w:t>
      </w:r>
      <w:r>
        <w:rPr>
          <w:rFonts w:ascii="Consolas" w:hAnsi="Consolas"/>
          <w:sz w:val="17"/>
        </w:rPr>
        <w:t>boundary</w:t>
      </w:r>
      <w:r>
        <w:t xml:space="preserve">, </w:t>
      </w:r>
      <w:r>
        <w:rPr>
          <w:rFonts w:ascii="Consolas" w:hAnsi="Consolas"/>
          <w:sz w:val="17"/>
        </w:rPr>
        <w:t>period</w:t>
      </w:r>
      <w:r>
        <w:t xml:space="preserve">, </w:t>
      </w:r>
      <w:r>
        <w:rPr>
          <w:rFonts w:ascii="Consolas" w:hAnsi="Consolas"/>
          <w:sz w:val="17"/>
        </w:rPr>
        <w:t>value</w:t>
      </w:r>
      <w:r>
        <w:t xml:space="preserve">, </w:t>
      </w:r>
      <w:r>
        <w:rPr>
          <w:rFonts w:ascii="Consolas" w:hAnsi="Consolas"/>
          <w:sz w:val="17"/>
        </w:rPr>
        <w:t>count</w:t>
      </w:r>
      <w:r>
        <w:t xml:space="preserve"> ;</w:t>
      </w:r>
    </w:p>
    <w:p>
      <w:pPr>
        <w:pStyle w:val="ListBullet"/>
      </w:pPr>
      <w:r>
        <w:t>la palette et le renderer d'origine sont conservés ;</w:t>
      </w:r>
    </w:p>
    <w:p>
      <w:pPr>
        <w:pStyle w:val="ListBullet"/>
      </w:pPr>
      <w:r>
        <w:t>la couche temporaire est retirée au changement de période et à la fermeture.</w:t>
      </w:r>
    </w:p>
    <w:p>
      <w:pPr>
        <w:pStyle w:val="Heading3"/>
      </w:pPr>
      <w:r>
        <w:t>Scénario K — Performance (T12)</w:t>
      </w:r>
    </w:p>
    <w:p>
      <w:r>
        <w:t>Tester avec une line-list anonymisée de taille représentative (par exemple 10 000, 50 000 puis 100 000 enregistrements).</w:t>
      </w:r>
    </w:p>
    <w:p>
      <w:r>
        <w:rPr>
          <w:b/>
        </w:rPr>
        <w:t>Résultat attendu :</w:t>
      </w:r>
      <w:r>
        <w:t xml:space="preserve"> temps d'agrégation, de filtre et d'animation mesurés et consignés ; comportement documenté au-delà de 10 000 enregistrements par requête.</w:t>
      </w:r>
    </w:p>
    <w:p>
      <w:pPr>
        <w:pStyle w:val="Heading3"/>
      </w:pPr>
      <w:r>
        <w:t>Scénario L — Intégrité des données sources (T2)</w:t>
      </w:r>
    </w:p>
    <w:p>
      <w:r>
        <w:t xml:space="preserve">Relever avant et après les tests le nombre d'enregistrements, le </w:t>
      </w:r>
      <w:r>
        <w:rPr>
          <w:rFonts w:ascii="Consolas" w:hAnsi="Consolas"/>
          <w:sz w:val="17"/>
        </w:rPr>
        <w:t>lastEditDate</w:t>
      </w:r>
      <w:r>
        <w:t xml:space="preserve"> et un échantillon de valeurs.</w:t>
      </w:r>
    </w:p>
    <w:p>
      <w:r>
        <w:rPr>
          <w:b/>
        </w:rPr>
        <w:t>Résultat attendu :</w:t>
      </w:r>
      <w:r>
        <w:t xml:space="preserve"> aucune modification de la line-list ni de la couche frontière.</w:t>
      </w:r>
    </w:p>
    <w:p>
      <w:pPr>
        <w:pStyle w:val="Heading2"/>
      </w:pPr>
      <w:r>
        <w:t>8. Critères d'acceptation GIS Centre</w:t>
      </w:r>
    </w:p>
    <w:p>
      <w:r>
        <w:t>Le pilote peut être accepté si :</w:t>
      </w:r>
    </w:p>
    <w:p>
      <w:pPr>
        <w:pStyle w:val="ListBullet"/>
      </w:pPr>
      <w:r>
        <w:t>une source Date native est détectée automatiquement ;</w:t>
      </w:r>
    </w:p>
    <w:p>
      <w:pPr>
        <w:pStyle w:val="ListBullet"/>
      </w:pPr>
      <w:r>
        <w:t>un champ texte de semaine (EpiWeek) est normalisé et agrégé ;</w:t>
      </w:r>
    </w:p>
    <w:p>
      <w:pPr>
        <w:pStyle w:val="ListBullet"/>
      </w:pPr>
      <w:r>
        <w:t>la limite de filtrage d'un champ texte est signalée à l'utilisateur ;</w:t>
      </w:r>
    </w:p>
    <w:p>
      <w:pPr>
        <w:pStyle w:val="ListBullet"/>
      </w:pPr>
      <w:r>
        <w:t>plusieurs années sont affichées ;</w:t>
      </w:r>
    </w:p>
    <w:p>
      <w:pPr>
        <w:pStyle w:val="ListBullet"/>
      </w:pPr>
      <w:r>
        <w:t>une comparaison annuelle est lisible ;</w:t>
      </w:r>
    </w:p>
    <w:p>
      <w:pPr>
        <w:pStyle w:val="ListBullet"/>
      </w:pPr>
      <w:r>
        <w:t>les périodes manquantes peuvent être représentées par zéro ;</w:t>
      </w:r>
    </w:p>
    <w:p>
      <w:pPr>
        <w:pStyle w:val="ListBullet"/>
      </w:pPr>
      <w:r>
        <w:t>deux sources partagent la timeline liée et restent pilotables individuellement ;</w:t>
      </w:r>
    </w:p>
    <w:p>
      <w:pPr>
        <w:pStyle w:val="ListBullet"/>
      </w:pPr>
      <w:r>
        <w:t>les trois modes de filtre fonctionnent ;</w:t>
      </w:r>
    </w:p>
    <w:p>
      <w:pPr>
        <w:pStyle w:val="ListBullet"/>
      </w:pPr>
      <w:r>
        <w:t>l'affichage brut/cumulé et le repli des périodes fonctionnent ;</w:t>
      </w:r>
    </w:p>
    <w:p>
      <w:pPr>
        <w:pStyle w:val="ListBullet"/>
      </w:pPr>
      <w:r>
        <w:t>l'export CSV est exploitable, globalement et par zone ;</w:t>
      </w:r>
    </w:p>
    <w:p>
      <w:pPr>
        <w:pStyle w:val="ListBullet"/>
      </w:pPr>
      <w:r>
        <w:t>une source peut être regroupée par zone et une couche frontière peut être sélectionnée ;</w:t>
      </w:r>
    </w:p>
    <w:p>
      <w:pPr>
        <w:pStyle w:val="ListBullet"/>
      </w:pPr>
      <w:r>
        <w:t>la couche virtuelle ne modifie ni le renderer ni les données sources ;</w:t>
      </w:r>
    </w:p>
    <w:p>
      <w:pPr>
        <w:pStyle w:val="ListBullet"/>
      </w:pPr>
      <w:r>
        <w:t>aucune donnée source n'est modifiée ;</w:t>
      </w:r>
    </w:p>
    <w:p>
      <w:pPr>
        <w:pStyle w:val="ListBullet"/>
      </w:pPr>
      <w:r>
        <w:t>une line-list anonymisée de taille représentative reste utilisable.</w:t>
      </w:r>
    </w:p>
    <w:p>
      <w:pPr>
        <w:pStyle w:val="Heading2"/>
      </w:pPr>
      <w:r>
        <w:t>9. Fiche de retour d'expérience</w:t>
      </w:r>
    </w:p>
    <w:p>
      <w:r>
        <w:t>Pour chaque test, documenter :</w:t>
      </w:r>
    </w:p>
    <w:p>
      <w:r>
        <w:rPr>
          <w:rFonts w:ascii="Consolas" w:hAnsi="Consolas"/>
          <w:sz w:val="17"/>
        </w:rPr>
        <w:t>Test (T1…T15) :</w:t>
        <w:br/>
        <w:t>Scénario (A…L) :</w:t>
        <w:br/>
        <w:t>Commit testé (git log -1 --oneline) :</w:t>
        <w:br/>
        <w:t>Pays / mission :</w:t>
        <w:br/>
        <w:t>Utilisateur testeur :</w:t>
        <w:br/>
        <w:t>Version Experience Builder :</w:t>
        <w:br/>
        <w:t>Version Portal :</w:t>
        <w:br/>
        <w:t>Taille de la source :</w:t>
        <w:br/>
        <w:t>Type de source :</w:t>
        <w:br/>
        <w:t>Champ temporel et type (Date / texte) :</w:t>
        <w:br/>
        <w:t>Champ de regroupement :</w:t>
        <w:br/>
        <w:t>Période choisie :</w:t>
        <w:br/>
        <w:t>Statistique :</w:t>
        <w:br/>
        <w:t>Navigateur :</w:t>
        <w:br/>
        <w:t>Résultat : conforme / non conforme / non testé</w:t>
        <w:br/>
        <w:t>Erreur console :</w:t>
        <w:br/>
        <w:t>Contournement disponible :</w:t>
        <w:br/>
        <w:t>Capture écran :</w:t>
        <w:br/>
        <w:t>Priorité : critique / haute / moyenne / basse</w:t>
      </w:r>
    </w:p>
    <w:p>
      <w:r>
        <w:t>Ne jamais joindre de données nominatives ou de secrets OAuth à un ticket.</w:t>
      </w:r>
    </w:p>
    <w:p>
      <w:pPr>
        <w:pStyle w:val="Heading2"/>
      </w:pPr>
      <w:r>
        <w:t>10. Limites connues du pilote</w:t>
      </w:r>
    </w:p>
    <w:p>
      <w:pPr>
        <w:pStyle w:val="ListBullet"/>
      </w:pPr>
      <w:r>
        <w:t>Le calcul est principalement côté navigateur ; les gros volumes doivent être mesurés avant déploiement.</w:t>
      </w:r>
    </w:p>
    <w:p>
      <w:pPr>
        <w:pStyle w:val="ListBullet"/>
      </w:pPr>
      <w:r>
        <w:t>Un champ temporel de type texte ne peut pas être filtré par le service : l'agrégation reste disponible, le filtre non.</w:t>
      </w:r>
    </w:p>
    <w:p>
      <w:pPr>
        <w:pStyle w:val="ListBullet"/>
      </w:pPr>
      <w:r>
        <w:t>Le regroupement spatial nécessite des valeurs Boundary cohérentes entre la line-list et la couche frontière.</w:t>
      </w:r>
    </w:p>
    <w:p>
      <w:pPr>
        <w:pStyle w:val="ListBullet"/>
      </w:pPr>
      <w:r>
        <w:t>La carte doit conserver son renderer ; le widget agit sur le filtre et les variables visuelles déjà configurées.</w:t>
      </w:r>
    </w:p>
    <w:p>
      <w:pPr>
        <w:pStyle w:val="ListBullet"/>
      </w:pPr>
      <w:r>
        <w:t>Les cartes, graphiques et indicateurs doivent utiliser les sources configurées ou une vue de données compatible.</w:t>
      </w:r>
    </w:p>
    <w:p>
      <w:pPr>
        <w:pStyle w:val="ListBullet"/>
      </w:pPr>
      <w:r>
        <w:t>Les taux épidémiologiques ne sont pas déduits automatiquement : leurs définitions et dénominateurs doivent être préparés et validés par la surveillance.</w:t>
      </w:r>
    </w:p>
    <w:p>
      <w:pPr>
        <w:pStyle w:val="ListBullet"/>
      </w:pPr>
      <w:r>
        <w:t>Pour une utilisation Enterprise derrière un proxy, la configuration OAuth et la transmission des query strings doivent être validées par l'administrateur Portal.</w:t>
      </w:r>
    </w:p>
    <w:p>
      <w:pPr>
        <w:pStyle w:val="ListBullet"/>
      </w:pPr>
      <w:r>
        <w:t xml:space="preserve">La déclaration </w:t>
      </w:r>
      <w:r>
        <w:rPr>
          <w:rFonts w:ascii="Consolas" w:hAnsi="Consolas"/>
          <w:sz w:val="17"/>
        </w:rPr>
        <w:t>exbVersion</w:t>
      </w:r>
      <w:r>
        <w:t xml:space="preserve"> du manifeste (1.14.0) doit être confirmée par rapport à la version réellement déployée.</w:t>
      </w:r>
    </w:p>
    <w:p>
      <w:pPr>
        <w:pStyle w:val="Heading2"/>
      </w:pPr>
      <w:r>
        <w:t>11. Support et livraison du retour</w:t>
      </w:r>
    </w:p>
    <w:p>
      <w:r>
        <w:t>Pour chaque problème, transmettre :</w:t>
      </w:r>
    </w:p>
    <w:p>
      <w:r>
        <w:t>1. la référence testée (</w:t>
      </w:r>
      <w:r>
        <w:rPr>
          <w:rFonts w:ascii="Consolas" w:hAnsi="Consolas"/>
          <w:sz w:val="17"/>
        </w:rPr>
        <w:t>git log -1 --oneline</w:t>
      </w:r>
      <w:r>
        <w:t>) ;</w:t>
      </w:r>
    </w:p>
    <w:p>
      <w:r>
        <w:t>2. la version Experience Builder ;</w:t>
      </w:r>
    </w:p>
    <w:p>
      <w:r>
        <w:t>3. le scénario de test et le test T correspondant ;</w:t>
      </w:r>
    </w:p>
    <w:p>
      <w:r>
        <w:t>4. la structure des champs sans données sensibles ;</w:t>
      </w:r>
    </w:p>
    <w:p>
      <w:r>
        <w:t>5. l'erreur de la console ;</w:t>
      </w:r>
    </w:p>
    <w:p>
      <w:r>
        <w:t>6. une capture d'écran anonymisée ;</w:t>
      </w:r>
    </w:p>
    <w:p>
      <w:r>
        <w:t>7. la fréquence et la gravité du problème.</w:t>
      </w:r>
    </w:p>
    <w:p>
      <w:r>
        <w:t xml:space="preserve">Le manuel général se trouve dans </w:t>
      </w:r>
      <w:r>
        <w:rPr>
          <w:rFonts w:ascii="Consolas" w:hAnsi="Consolas"/>
          <w:sz w:val="17"/>
        </w:rPr>
        <w:t>MANUEL_UTILISATION.md</w:t>
      </w:r>
      <w:r>
        <w:t xml:space="preserve">, le dossier de décision dans </w:t>
      </w:r>
      <w:r>
        <w:rPr>
          <w:rFonts w:ascii="Consolas" w:hAnsi="Consolas"/>
          <w:sz w:val="17"/>
        </w:rPr>
        <w:t>DOSSIER_PROPOSITION_GIS_CENTRE.md</w:t>
      </w:r>
      <w:r>
        <w:t xml:space="preserve"> et la description technique dans </w:t>
      </w:r>
      <w:r>
        <w:rPr>
          <w:rFonts w:ascii="Consolas" w:hAnsi="Consolas"/>
          <w:sz w:val="17"/>
        </w:rPr>
        <w:t>README.md</w:t>
      </w:r>
      <w:r>
        <w:t>.</w:t>
      </w:r>
    </w:p>
    <w:sectPr w:rsidR="00FC693F" w:rsidRPr="0006063C" w:rsidSect="00034616"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