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ampari-diversidade-inclusão"/>
    <w:p>
      <w:pPr>
        <w:pStyle w:val="Heading1"/>
      </w:pPr>
      <w:r>
        <w:t xml:space="preserve">CAMPARI: DIVERSIDADE &amp; INCLUSÃO</w:t>
      </w:r>
    </w:p>
    <w:bookmarkStart w:id="9" w:name="pager-executivo"/>
    <w:p>
      <w:pPr>
        <w:pStyle w:val="Heading2"/>
      </w:pPr>
      <w:r>
        <w:t xml:space="preserve">1-PAGER EXECUTIVO</w:t>
      </w:r>
    </w:p>
    <w:p>
      <w:r>
        <w:pict>
          <v:rect style="width:0;height:1.5pt" o:hralign="center" o:hrstd="t" o:hr="t"/>
        </w:pict>
      </w:r>
    </w:p>
    <w:bookmarkEnd w:id="9"/>
    <w:bookmarkStart w:id="10" w:name="o-desafio"/>
    <w:p>
      <w:pPr>
        <w:pStyle w:val="Heading2"/>
      </w:pPr>
      <w:r>
        <w:rPr>
          <w:b/>
          <w:bCs/>
        </w:rPr>
        <w:t xml:space="preserve">O DESAFIO</w:t>
      </w:r>
    </w:p>
    <w:p>
      <w:pPr>
        <w:pStyle w:val="FirstParagraph"/>
      </w:pPr>
      <w:r>
        <w:t xml:space="preserve">Campari enfrenta três pressões simultâneas: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Competitiva:</w:t>
      </w:r>
      <w:r>
        <w:t xml:space="preserve"> </w:t>
      </w:r>
      <w:r>
        <w:t xml:space="preserve">Ambev, Diageo, Bacardi já investem em D&amp;I estratégico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Financeira:</w:t>
      </w:r>
      <w:r>
        <w:t xml:space="preserve"> </w:t>
      </w:r>
      <w:r>
        <w:t xml:space="preserve">Rotatividade de talentos diversos custa R$ 1M+/ano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Operacional:</w:t>
      </w:r>
      <w:r>
        <w:t xml:space="preserve"> </w:t>
      </w:r>
      <w:r>
        <w:t xml:space="preserve">Falta de estratégia formalizada = fragmentação de iniciativas</w:t>
      </w:r>
    </w:p>
    <w:p>
      <w:pPr>
        <w:pStyle w:val="BodyText"/>
      </w:pPr>
      <w:r>
        <w:rPr>
          <w:b/>
          <w:bCs/>
        </w:rPr>
        <w:t xml:space="preserve">Janela de oportunidade:</w:t>
      </w:r>
      <w:r>
        <w:t xml:space="preserve"> </w:t>
      </w:r>
      <w:r>
        <w:t xml:space="preserve">12 meses para estabelecer liderança percebida no segmento.</w:t>
      </w:r>
    </w:p>
    <w:p>
      <w:r>
        <w:pict>
          <v:rect style="width:0;height:1.5pt" o:hralign="center" o:hrstd="t" o:hr="t"/>
        </w:pict>
      </w:r>
    </w:p>
    <w:bookmarkEnd w:id="10"/>
    <w:bookmarkStart w:id="11" w:name="a-solução-divercidade-hub"/>
    <w:p>
      <w:pPr>
        <w:pStyle w:val="Heading2"/>
      </w:pPr>
      <w:r>
        <w:rPr>
          <w:b/>
          <w:bCs/>
        </w:rPr>
        <w:t xml:space="preserve">A SOLUÇÃO: DiverCidade Hub</w:t>
      </w:r>
    </w:p>
    <w:p>
      <w:pPr>
        <w:pStyle w:val="FirstParagraph"/>
      </w:pPr>
      <w:r>
        <w:rPr>
          <w:b/>
          <w:bCs/>
        </w:rPr>
        <w:t xml:space="preserve">Modelo:</w:t>
      </w:r>
      <w:r>
        <w:t xml:space="preserve"> </w:t>
      </w:r>
      <w:r>
        <w:t xml:space="preserve">Parceria de 12 meses em 3 frentes estratégicas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Recrutamento &amp; Marca Empregadora</w:t>
      </w:r>
      <w:r>
        <w:t xml:space="preserve"> </w:t>
      </w:r>
      <w:r>
        <w:t xml:space="preserve">(sourcing, brand, pipelines)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Desenvolvimento de Liderança</w:t>
      </w:r>
      <w:r>
        <w:t xml:space="preserve"> </w:t>
      </w:r>
      <w:r>
        <w:t xml:space="preserve">(workshops, coaching, mentoria)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Fortalecimento de Cultura</w:t>
      </w:r>
      <w:r>
        <w:t xml:space="preserve"> </w:t>
      </w:r>
      <w:r>
        <w:t xml:space="preserve">(ERGs, políticas, comunicação)</w:t>
      </w:r>
    </w:p>
    <w:p>
      <w:pPr>
        <w:pStyle w:val="BodyText"/>
      </w:pPr>
      <w:r>
        <w:rPr>
          <w:b/>
          <w:bCs/>
        </w:rPr>
        <w:t xml:space="preserve">Abordagem:</w:t>
      </w:r>
      <w:r>
        <w:t xml:space="preserve"> </w:t>
      </w:r>
      <w:r>
        <w:t xml:space="preserve">Advisory estratégico + implementação prática (não apenas diagnóstico)</w:t>
      </w:r>
    </w:p>
    <w:p>
      <w:r>
        <w:pict>
          <v:rect style="width:0;height:1.5pt" o:hralign="center" o:hrstd="t" o:hr="t"/>
        </w:pict>
      </w:r>
    </w:p>
    <w:bookmarkEnd w:id="11"/>
    <w:bookmarkStart w:id="12" w:name="impacto-financeiro-y1"/>
    <w:p>
      <w:pPr>
        <w:pStyle w:val="Heading2"/>
      </w:pPr>
      <w:r>
        <w:rPr>
          <w:b/>
          <w:bCs/>
        </w:rPr>
        <w:t xml:space="preserve">IMPACTO FINANCEIRO (Y1)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Vetor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talentos</w:t>
            </w:r>
          </w:p>
        </w:tc>
        <w:tc>
          <w:tcPr/>
          <w:p>
            <w:pPr>
              <w:pStyle w:val="Compact"/>
            </w:pPr>
            <w:r>
              <w:t xml:space="preserve">R$ 195k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recrutamento</w:t>
            </w:r>
          </w:p>
        </w:tc>
        <w:tc>
          <w:tcPr/>
          <w:p>
            <w:pPr>
              <w:pStyle w:val="Compact"/>
            </w:pPr>
            <w:r>
              <w:t xml:space="preserve">R$ 102.5k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Produtividade &amp; engagement</w:t>
            </w:r>
          </w:p>
        </w:tc>
        <w:tc>
          <w:tcPr/>
          <w:p>
            <w:pPr>
              <w:pStyle w:val="Compact"/>
            </w:pPr>
            <w:r>
              <w:t xml:space="preserve">R$ 120k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empregadora</w:t>
            </w:r>
          </w:p>
        </w:tc>
        <w:tc>
          <w:tcPr/>
          <w:p>
            <w:pPr>
              <w:pStyle w:val="Compact"/>
            </w:pPr>
            <w:r>
              <w:t xml:space="preserve">R$ 225k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R$ 642.5k</w:t>
            </w:r>
          </w:p>
        </w:tc>
      </w:tr>
    </w:tbl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7.3x |</w:t>
      </w:r>
      <w:r>
        <w:t xml:space="preserve"> </w:t>
      </w:r>
      <w:r>
        <w:rPr>
          <w:b/>
          <w:bCs/>
        </w:rPr>
        <w:t xml:space="preserve">Payback:</w:t>
      </w:r>
      <w:r>
        <w:t xml:space="preserve"> </w:t>
      </w:r>
      <w:r>
        <w:t xml:space="preserve">1-2 meses |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12 meses</w:t>
      </w:r>
    </w:p>
    <w:p>
      <w:r>
        <w:pict>
          <v:rect style="width:0;height:1.5pt" o:hralign="center" o:hrstd="t" o:hr="t"/>
        </w:pict>
      </w:r>
    </w:p>
    <w:bookmarkEnd w:id="12"/>
    <w:bookmarkStart w:id="13" w:name="precificação-transparência-total"/>
    <w:p>
      <w:pPr>
        <w:pStyle w:val="Heading2"/>
      </w:pPr>
      <w:r>
        <w:rPr>
          <w:b/>
          <w:bCs/>
        </w:rPr>
        <w:t xml:space="preserve">PRECIFICAÇÃO (Transparência Total)</w:t>
      </w:r>
    </w:p>
    <w:p>
      <w:pPr>
        <w:pStyle w:val="FirstParagraph"/>
      </w:pPr>
      <w:r>
        <w:rPr>
          <w:b/>
          <w:bCs/>
        </w:rPr>
        <w:t xml:space="preserve">Modelo:</w:t>
      </w:r>
      <w:r>
        <w:t xml:space="preserve"> </w:t>
      </w:r>
      <w:r>
        <w:t xml:space="preserve">Horas à la carte + serviços fixos (sem retainer mínimo)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de maturidade</w:t>
            </w:r>
          </w:p>
        </w:tc>
        <w:tc>
          <w:tcPr/>
          <w:p>
            <w:pPr>
              <w:pStyle w:val="Compact"/>
            </w:pPr>
            <w:r>
              <w:t xml:space="preserve">R$ 7.500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de consultoria</w:t>
            </w:r>
          </w:p>
        </w:tc>
        <w:tc>
          <w:tcPr/>
          <w:p>
            <w:pPr>
              <w:pStyle w:val="Compact"/>
            </w:pPr>
            <w:r>
              <w:t xml:space="preserve">R$ 300/hora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 mensais</w:t>
            </w:r>
          </w:p>
        </w:tc>
        <w:tc>
          <w:tcPr/>
          <w:p>
            <w:pPr>
              <w:pStyle w:val="Compact"/>
            </w:pPr>
            <w:r>
              <w:t xml:space="preserve">R$ 1.500/mês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final</w:t>
            </w:r>
          </w:p>
        </w:tc>
        <w:tc>
          <w:tcPr/>
          <w:p>
            <w:pPr>
              <w:pStyle w:val="Compact"/>
            </w:pPr>
            <w:r>
              <w:t xml:space="preserve">R$ 2.500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Projeto típico (12 meses, 200h):</w:t>
      </w:r>
      <w:r>
        <w:t xml:space="preserve"> </w:t>
      </w:r>
      <w:r>
        <w:t xml:space="preserve">- Diagnóstico: R$ 7.500</w:t>
      </w:r>
      <w:r>
        <w:t xml:space="preserve"> </w:t>
      </w:r>
      <w:r>
        <w:t xml:space="preserve">- Horas: R$ 60.000 (200h × R$ 300)</w:t>
      </w:r>
      <w:r>
        <w:t xml:space="preserve"> </w:t>
      </w:r>
      <w:r>
        <w:t xml:space="preserve">- Relatórios (12): R$ 18.000</w:t>
      </w:r>
      <w:r>
        <w:t xml:space="preserve"> </w:t>
      </w:r>
      <w:r>
        <w:t xml:space="preserve">- Documentação: R$ 2.500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R$ 88.000</w:t>
      </w:r>
    </w:p>
    <w:p>
      <w:r>
        <w:pict>
          <v:rect style="width:0;height:1.5pt" o:hralign="center" o:hrstd="t" o:hr="t"/>
        </w:pict>
      </w:r>
    </w:p>
    <w:bookmarkEnd w:id="13"/>
    <w:bookmarkStart w:id="14" w:name="por-que-divercidade"/>
    <w:p>
      <w:pPr>
        <w:pStyle w:val="Heading2"/>
      </w:pPr>
      <w:r>
        <w:rPr>
          <w:b/>
          <w:bCs/>
        </w:rPr>
        <w:t xml:space="preserve">POR QUE DIVERCIDADE?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Velocidade:</w:t>
      </w:r>
      <w:r>
        <w:t xml:space="preserve"> </w:t>
      </w:r>
      <w:r>
        <w:t xml:space="preserve">Resultados visíveis em mês 4-5 (vs. Big 4 mês 12+)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Custo-Benefício:</w:t>
      </w:r>
      <w:r>
        <w:t xml:space="preserve"> </w:t>
      </w:r>
      <w:r>
        <w:t xml:space="preserve">R$ 88k vs. R$ 600k+ (Big 4)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Flexibilidade:</w:t>
      </w:r>
      <w:r>
        <w:t xml:space="preserve"> </w:t>
      </w:r>
      <w:r>
        <w:t xml:space="preserve">Sem retainer, pague só o que usa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Expertise:</w:t>
      </w:r>
      <w:r>
        <w:t xml:space="preserve"> </w:t>
      </w:r>
      <w:r>
        <w:t xml:space="preserve">Especialista em F&amp;B/Beverage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Accountability:</w:t>
      </w:r>
      <w:r>
        <w:t xml:space="preserve"> </w:t>
      </w:r>
      <w:r>
        <w:t xml:space="preserve">Consultores sênior, relatórios mensais</w:t>
      </w:r>
    </w:p>
    <w:p>
      <w:r>
        <w:pict>
          <v:rect style="width:0;height:1.5pt" o:hralign="center" o:hrstd="t" o:hr="t"/>
        </w:pict>
      </w:r>
    </w:p>
    <w:bookmarkEnd w:id="14"/>
    <w:bookmarkStart w:id="15" w:name="próximo-passo"/>
    <w:p>
      <w:pPr>
        <w:pStyle w:val="Heading2"/>
      </w:pPr>
      <w:r>
        <w:rPr>
          <w:b/>
          <w:bCs/>
        </w:rPr>
        <w:t xml:space="preserve">PRÓXIMO PASSO</w:t>
      </w:r>
    </w:p>
    <w:p>
      <w:pPr>
        <w:pStyle w:val="FirstParagraph"/>
      </w:pPr>
      <w:r>
        <w:rPr>
          <w:b/>
          <w:bCs/>
        </w:rPr>
        <w:t xml:space="preserve">Encontro de Alinhamento Inicial (1h, ZERO custo)</w:t>
      </w:r>
    </w:p>
    <w:p>
      <w:pPr>
        <w:pStyle w:val="BodyText"/>
      </w:pPr>
      <w:r>
        <w:t xml:space="preserve">Objetivo: Validar números, customizar proposta, definir timeline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/>
          <w:bCs/>
        </w:rPr>
        <w:t xml:space="preserve">Agende:</w:t>
      </w:r>
      <w:r>
        <w:t xml:space="preserve"> </w:t>
      </w:r>
      <w:r>
        <w:t xml:space="preserve">contato@divercidade.com.br</w:t>
      </w:r>
      <w:r>
        <w:br/>
      </w:r>
      <w:r>
        <w:t xml:space="preserve">📅</w:t>
      </w:r>
      <w:r>
        <w:t xml:space="preserve"> </w:t>
      </w:r>
      <w:r>
        <w:rPr>
          <w:b/>
          <w:bCs/>
        </w:rPr>
        <w:t xml:space="preserve">Quando:</w:t>
      </w:r>
      <w:r>
        <w:t xml:space="preserve"> </w:t>
      </w:r>
      <w:r>
        <w:t xml:space="preserve">Próximos 7 dias</w:t>
      </w:r>
      <w:r>
        <w:br/>
      </w:r>
      <w:r>
        <w:t xml:space="preserve">👥</w:t>
      </w:r>
      <w:r>
        <w:t xml:space="preserve"> </w:t>
      </w:r>
      <w:r>
        <w:rPr>
          <w:b/>
          <w:bCs/>
        </w:rPr>
        <w:t xml:space="preserve">Quem:</w:t>
      </w:r>
      <w:r>
        <w:t xml:space="preserve"> </w:t>
      </w:r>
      <w:r>
        <w:t xml:space="preserve">Amanda + VP RH (se aplicável)</w:t>
      </w:r>
      <w:r>
        <w:br/>
      </w:r>
      <w:r>
        <w:t xml:space="preserve">⏱️</w:t>
      </w:r>
      <w:r>
        <w:t xml:space="preserve"> </w:t>
      </w:r>
      <w:r>
        <w:rPr>
          <w:b/>
          <w:bCs/>
        </w:rPr>
        <w:t xml:space="preserve">Duração:</w:t>
      </w:r>
      <w:r>
        <w:t xml:space="preserve"> </w:t>
      </w:r>
      <w:r>
        <w:t xml:space="preserve">60 minutos | Presencial ou videocall</w:t>
      </w:r>
    </w:p>
    <w:p>
      <w:r>
        <w:pict>
          <v:rect style="width:0;height:1.5pt" o:hralign="center" o:hrstd="t" o:hr="t"/>
        </w:pict>
      </w:r>
    </w:p>
    <w:bookmarkEnd w:id="15"/>
    <w:bookmarkStart w:id="16" w:name="riscos-de-não-agir"/>
    <w:p>
      <w:pPr>
        <w:pStyle w:val="Heading2"/>
      </w:pPr>
      <w:r>
        <w:rPr>
          <w:b/>
          <w:bCs/>
        </w:rPr>
        <w:t xml:space="preserve">RISCOS DE NÃO AGIR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4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Competidores avançam</w:t>
            </w:r>
          </w:p>
        </w:tc>
        <w:tc>
          <w:tcPr/>
          <w:p>
            <w:pPr>
              <w:pStyle w:val="Compact"/>
            </w:pPr>
            <w:r>
              <w:t xml:space="preserve">Gap crescente em brand empregadora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Rotatividade continua</w:t>
            </w:r>
          </w:p>
        </w:tc>
        <w:tc>
          <w:tcPr/>
          <w:p>
            <w:pPr>
              <w:pStyle w:val="Compact"/>
            </w:pPr>
            <w:r>
              <w:t xml:space="preserve">R$ 1M+ custos não-evitados/ano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Atração de talento fraca</w:t>
            </w:r>
          </w:p>
        </w:tc>
        <w:tc>
          <w:tcPr/>
          <w:p>
            <w:pPr>
              <w:pStyle w:val="Compact"/>
            </w:pPr>
            <w:r>
              <w:t xml:space="preserve">Perda de candidatos top em posições críticas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gaps</w:t>
            </w:r>
          </w:p>
        </w:tc>
        <w:tc>
          <w:tcPr/>
          <w:p>
            <w:pPr>
              <w:pStyle w:val="Compact"/>
            </w:pPr>
            <w:r>
              <w:t xml:space="preserve">Falta de compliance com novas regulações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CAMPARI: PARCERIA ESTRATÉGICA EM DIVERSIDADE</w:t>
      </w:r>
      <w:r>
        <w:br/>
      </w:r>
      <w:r>
        <w:t xml:space="preserve">Proposta válida até</w:t>
      </w:r>
      <w:r>
        <w:t xml:space="preserve"> </w:t>
      </w:r>
      <w:r>
        <w:rPr>
          <w:b/>
          <w:bCs/>
        </w:rPr>
        <w:t xml:space="preserve">5 de Abril de 2026</w:t>
      </w:r>
    </w:p>
    <w:p>
      <w:pPr>
        <w:pStyle w:val="BodyText"/>
      </w:pPr>
      <w:r>
        <w:rPr>
          <w:i/>
          <w:iCs/>
        </w:rPr>
        <w:t xml:space="preserve">“Diversidade e inclusão sustentável requer alinhamento simultâneo de negócio, sistemas, liderança e cultura. Trabalhamos através de todas estas dimensões simultaneamente.”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2026-03-05T23:30:52Z</dcterms:created>
  <dcterms:modified xsi:type="dcterms:W3CDTF">2026-03-05T23:30:52Z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