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widowControl/>
      </w:pPr>
      <w:r>
        <w:rPr>
          <w:rFonts w:ascii="Calibri" w:hAnsi="Calibri"/>
          <w:b/>
          <w:i w:val="0"/>
          <w:color w:val="F36C21"/>
          <w:sz w:val="22"/>
        </w:rPr>
        <w:t>ACORDO DE PARCERIA TECNOLÓGICA</w:t>
      </w:r>
    </w:p>
    <w:p>
      <w:pPr>
        <w:spacing w:after="80"/>
        <w:widowControl/>
      </w:pPr>
      <w:r>
        <w:rPr>
          <w:rFonts w:ascii="Calibri" w:hAnsi="Calibri"/>
          <w:b/>
          <w:color w:val="002B49"/>
          <w:sz w:val="52"/>
        </w:rPr>
        <w:t>DiverCidade HUB</w:t>
      </w:r>
    </w:p>
    <w:p>
      <w:pPr>
        <w:spacing w:after="280"/>
        <w:widowControl/>
      </w:pPr>
      <w:r>
        <w:rPr>
          <w:rFonts w:ascii="Calibri" w:hAnsi="Calibri"/>
          <w:b/>
          <w:color w:val="008E8A"/>
          <w:sz w:val="26"/>
        </w:rPr>
        <w:t>Desenvolvimento • Participação futura nos lucros • Propriedade intelectual • NDA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cantSplit/>
        </w:trPr>
        <w:tc>
          <w:tcPr>
            <w:tcW w:type="dxa" w:w="22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43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Partes</w:t>
            </w:r>
          </w:p>
        </w:tc>
        <w:tc>
          <w:tcPr>
            <w:tcW w:type="dxa" w:w="286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Minuta-base contratual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DiverCidade HUB e [EMPRESA PARCEIRA]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Para validação e revisão jurídica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5F4"/>
            <w:tcMar>
              <w:top w:w="130" w:type="dxa"/>
              <w:bottom w:w="13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8E8A"/>
                <w:sz w:val="22"/>
              </w:rPr>
              <w:t>DECISÕES ECONÔMICAS INCORPORADAS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0"/>
              </w:rPr>
              <w:t>60% dos lucros distribuíveis para a DiverCidade; até 30% para a Parceira Tecnológica, sujeitos a vesting; e 10% reservados para investidores futuros, retidos no caixa enquanto não forem atribuídos.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5F4"/>
            <w:tcMar>
              <w:top w:w="130" w:type="dxa"/>
              <w:bottom w:w="13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1C1C"/>
                <w:sz w:val="22"/>
              </w:rPr>
              <w:t>ATENÇÃO JURÍDICA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0"/>
              </w:rPr>
              <w:t>Esta minuta organiza as condições comerciais pretendidas pelas Partes. CNPJ, foro, multa, prazo, regime tributário e condições finais de rescisão precisam ser validados por advogado antes da assinatura.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1. Partes e objeto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De um lado, DIVER CIDADE HUB, pessoa jurídica inscrita no CNPJ sob o nº [●], com sede em [●], representada por [●], doravante “DiverCidade”; e, de outro, [EMPRESA PARCEIRA DE TECNOLOGIA], inscrita no CNPJ sob o nº [●], com sede em [●], representada por [●], doravante “Parceira Tecnológica”.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 acordo disciplina o planejamento, arquitetura, desenvolvimento, implantação, evolução, manutenção e exploração econômica da plataforma provisoriamente denominada HUB, destinada a integrar dados de pessoas, performance, clientes, fornecedores, universidades, comunidades, operações e finanças para gerar indicadores, alertas, recomendações, previsões, simulações e apoio à decisão.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Desenvolvimento incremental dos MVPs.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Arquitetura técnica, integrações, segurança e documentação.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Construção de painéis, APIs, motores de regras e inteligência.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Registro das horas e pagamento diferido.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Participação futura nos lucros e entrada de investidores.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Proteção de propriedade intelectual, dados e conhecimento estratégico.</w:t>
      </w:r>
    </w:p>
    <w:p>
      <w:pPr>
        <w:pStyle w:val="Heading1"/>
        <w:keepNext/>
        <w:widowControl/>
      </w:pPr>
      <w:r>
        <w:t>2. Natureza da parceria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Os percentuais deste instrumento possuem natureza exclusivamente contratual e econômica, vinculada à distribuição futura de lucros da plataforma. Não representam quotas, ações ou participação no capital social; não conferem poderes de administração ou representação; e não criam automaticamente vínculo empregatício, sociedade de fato, joint venture ou associação.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Qualquer participação societária futura dependerá de instrumento próprio, alteração societária e aprovação expressa da DiverCidade.</w:t>
      </w:r>
    </w:p>
    <w:p>
      <w:pPr>
        <w:pStyle w:val="Heading1"/>
        <w:keepNext/>
        <w:widowControl/>
      </w:pPr>
      <w:r>
        <w:t>3. Participação futura nos lucros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700"/>
        <w:gridCol w:w="4760"/>
      </w:tblGrid>
      <w:tr>
        <w:trPr>
          <w:cantSplit/>
        </w:trPr>
        <w:tc>
          <w:tcPr>
            <w:tcW w:type="dxa" w:w="29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Destinação</w:t>
            </w:r>
          </w:p>
        </w:tc>
        <w:tc>
          <w:tcPr>
            <w:tcW w:type="dxa" w:w="17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Percentual máximo</w:t>
            </w:r>
          </w:p>
        </w:tc>
        <w:tc>
          <w:tcPr>
            <w:tcW w:type="dxa" w:w="476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DiverCidade HUB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60%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Participação contratual sobre o lucro líquido distribuível.</w:t>
            </w:r>
          </w:p>
        </w:tc>
      </w:tr>
      <w:tr>
        <w:trPr>
          <w:cantSplit/>
        </w:trPr>
        <w:tc>
          <w:tcPr>
            <w:tcW w:type="dxa" w:w="29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Parceira Tecnológica</w:t>
            </w:r>
          </w:p>
        </w:tc>
        <w:tc>
          <w:tcPr>
            <w:tcW w:type="dxa" w:w="17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Até 30%</w:t>
            </w:r>
          </w:p>
        </w:tc>
        <w:tc>
          <w:tcPr>
            <w:tcW w:type="dxa" w:w="47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Participação sujeita ao vesting, continuidade, entregas e cumprimento do contrato.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Reserva para investidores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10%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Não atribuída; permanece no caixa até entrada formal de investidor ou parceiro estratégico.</w:t>
            </w:r>
          </w:p>
        </w:tc>
      </w:tr>
    </w:tbl>
    <w:p>
      <w:pPr>
        <w:spacing w:after="20"/>
        <w:widowControl/>
      </w:pP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Os 10% reservados não pertencem automaticamente a nenhuma das Partes, não podem ser cedidos pela Parceira Tecnológica e somente serão atribuídos mediante aprovação da DiverCidade e instrumento de adesão. Enquanto não houver beneficiário, os valores correspondentes permanecerão retidos no caixa do projeto para capital de giro, segurança, desenvolvimento e crescimento, sem redistribuição automática.</w:t>
      </w:r>
    </w:p>
    <w:p>
      <w:pPr>
        <w:pStyle w:val="Heading1"/>
        <w:keepNext/>
        <w:widowControl/>
      </w:pPr>
      <w:r>
        <w:t>4. Definição e ordem de distribuição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Lucro líquido distribuível é o resultado positivo efetivamente recebido pela exploração do HUB após dedução de tributos, estornos, inadimplência, infraestrutura, licenças, fornecedores, implantação, manutenção, suporte, despesas jurídicas e administrativas diretamente relacionadas, horas aprovadas ainda não pagas, investimentos aprovados e reserva mínima de caixa.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Não haverá distribuição baseada em receita contratada e ainda não recebida. A prestação de contas será [mensal/trimestral]. A ordem de uso do caixa será: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Obrigações legais, impostos e taxas.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Custos essenciais de funcionamento e segurança.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Fornecedores e despesas externas previamente aprovadas.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Pagamento total ou parcial das horas aprovadas e acumuladas.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Formação ou recomposição da reserva financeira.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Reinvestimentos aprovados.</w:t>
      </w:r>
    </w:p>
    <w:p>
      <w:pPr>
        <w:pStyle w:val="ListNumber"/>
        <w:widowControl/>
      </w:pPr>
      <w:r>
        <w:rPr>
          <w:rFonts w:ascii="Calibri" w:hAnsi="Calibri"/>
          <w:color w:val="172B3A"/>
          <w:sz w:val="22"/>
        </w:rPr>
        <w:t>Distribuição do lucro líquido remanescente em 60%/até 30%/10%.</w:t>
      </w:r>
    </w:p>
    <w:p>
      <w:pPr>
        <w:pStyle w:val="Heading1"/>
        <w:keepNext/>
        <w:widowControl/>
      </w:pPr>
      <w:r>
        <w:t>5. Desenvolvimento dos MVPs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Os MVPs serão desenvolvidos com o menor custo financeiro imediato possível, priorizando hipóteses essenciais, componentes reutilizáveis com licença válida, tecnologias compatíveis com o estágio do projeto e validação com clientes antes de investimentos maiores.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 princípio de economia não autoriza ausência de segurança, tratamento inadequado de dados, falta de documentação essencial, violação de direitos de terceiros, dependência técnica proposital ou arquitetura que inviabilize a continuidade.</w:t>
      </w:r>
    </w:p>
    <w:p>
      <w:pPr>
        <w:pStyle w:val="Heading1"/>
        <w:keepNext/>
        <w:widowControl/>
      </w:pPr>
      <w:r>
        <w:t>6. Horas, valores e pagamento diferido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1500"/>
        <w:gridCol w:w="3760"/>
      </w:tblGrid>
      <w:tr>
        <w:trPr>
          <w:cantSplit/>
        </w:trPr>
        <w:tc>
          <w:tcPr>
            <w:tcW w:type="dxa" w:w="26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Pessoa/Parte</w:t>
            </w:r>
          </w:p>
        </w:tc>
        <w:tc>
          <w:tcPr>
            <w:tcW w:type="dxa" w:w="15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Valor normal</w:t>
            </w:r>
          </w:p>
        </w:tc>
        <w:tc>
          <w:tcPr>
            <w:tcW w:type="dxa" w:w="15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Valor reduzido</w:t>
            </w:r>
          </w:p>
        </w:tc>
        <w:tc>
          <w:tcPr>
            <w:tcW w:type="dxa" w:w="376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Parceira Tecnológica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R$ 250/h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R$ 180/h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Somente mediante concordância prévia e escrita para atividade definida.</w:t>
            </w:r>
          </w:p>
        </w:tc>
      </w:tr>
      <w:tr>
        <w:trPr>
          <w:cantSplit/>
        </w:trPr>
        <w:tc>
          <w:tcPr>
            <w:tcW w:type="dxa" w:w="26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Tamara / DiverCidade</w:t>
            </w:r>
          </w:p>
        </w:tc>
        <w:tc>
          <w:tcPr>
            <w:tcW w:type="dxa" w:w="15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R$ 220/h</w:t>
            </w:r>
          </w:p>
        </w:tc>
        <w:tc>
          <w:tcPr>
            <w:tcW w:type="dxa" w:w="15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—</w:t>
            </w:r>
          </w:p>
        </w:tc>
        <w:tc>
          <w:tcPr>
            <w:tcW w:type="dxa" w:w="37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Horas aprovadas de estratégia, produto, negócio, cliente e gestão.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PF / DiverCidade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R$ 220/h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—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Horas aprovadas relacionadas ao projeto.</w:t>
            </w:r>
          </w:p>
        </w:tc>
      </w:tr>
      <w:tr>
        <w:trPr>
          <w:cantSplit/>
        </w:trPr>
        <w:tc>
          <w:tcPr>
            <w:tcW w:type="dxa" w:w="26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Pedro / DiverCidade</w:t>
            </w:r>
          </w:p>
        </w:tc>
        <w:tc>
          <w:tcPr>
            <w:tcW w:type="dxa" w:w="15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R$ 140/h</w:t>
            </w:r>
          </w:p>
        </w:tc>
        <w:tc>
          <w:tcPr>
            <w:tcW w:type="dxa" w:w="15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—</w:t>
            </w:r>
          </w:p>
        </w:tc>
        <w:tc>
          <w:tcPr>
            <w:tcW w:type="dxa" w:w="37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Horas aprovadas relacionadas ao projeto.</w:t>
            </w:r>
          </w:p>
        </w:tc>
      </w:tr>
    </w:tbl>
    <w:p>
      <w:pPr>
        <w:spacing w:after="20"/>
        <w:widowControl/>
      </w:pP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quantidade de horas será acordada entre todos antes da execução. Cada autorização registrará escopo, responsável, estimativa, tarifa, prazo, entregável, critérios de aceite, dependências e custos externos. Excesso superior a 10% exige nova aprovação.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As horas realizadas e não pagas constituem obrigação contratual do projeto e não representam aporte, participação societária, mútuo conversível, aumento de percentual ou vínculo empregatício. Serão quitadas conforme houver caixa e lucro, observada a ordem financeira definida neste acordo.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 controle compartilhado de horas conterá pessoa, data, atividade, entrega, quantidade, tarifa, total, aprovação e situação do pagamento.</w:t>
      </w:r>
    </w:p>
    <w:p>
      <w:pPr>
        <w:pStyle w:val="Heading1"/>
        <w:keepNext/>
        <w:widowControl/>
      </w:pPr>
      <w:r>
        <w:t>7. Vesting da Parceira Tecnológica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5F4"/>
            <w:tcMar>
              <w:top w:w="130" w:type="dxa"/>
              <w:bottom w:w="13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8E8A"/>
                <w:sz w:val="22"/>
              </w:rPr>
              <w:t>REGRA DEFINITIVA</w:t>
            </w:r>
          </w:p>
          <w:p>
            <w:pPr>
              <w:spacing w:after="0"/>
            </w:pPr>
            <w:r>
              <w:rPr>
                <w:rFonts w:ascii="Calibri" w:hAnsi="Calibri"/>
                <w:color w:val="172B3A"/>
                <w:sz w:val="20"/>
              </w:rPr>
              <w:t>Os 30% representam o percentual econômico máximo e serão adquiridos progressivamente. A Parceira não recebe direito permanente sobre os 30% no momento da assinatura.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4860"/>
      </w:tblGrid>
      <w:tr>
        <w:trPr>
          <w:cantSplit/>
        </w:trPr>
        <w:tc>
          <w:tcPr>
            <w:tcW w:type="dxa" w:w="23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Marco</w:t>
            </w:r>
          </w:p>
        </w:tc>
        <w:tc>
          <w:tcPr>
            <w:tcW w:type="dxa" w:w="22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Participação adquirida</w:t>
            </w:r>
          </w:p>
        </w:tc>
        <w:tc>
          <w:tcPr>
            <w:tcW w:type="dxa" w:w="486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Meses 0 a 11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0% permanente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Período de carência (cliff). Pagamentos correntes eventualmente aprovados não criam vesting.</w:t>
            </w:r>
          </w:p>
        </w:tc>
      </w:tr>
      <w:tr>
        <w:trPr>
          <w:cantSplit/>
        </w:trPr>
        <w:tc>
          <w:tcPr>
            <w:tcW w:type="dxa" w:w="23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Conclusão do mês 12</w:t>
            </w:r>
          </w:p>
        </w:tc>
        <w:tc>
          <w:tcPr>
            <w:tcW w:type="dxa" w:w="22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7,5 pontos percentuais</w:t>
            </w:r>
          </w:p>
        </w:tc>
        <w:tc>
          <w:tcPr>
            <w:tcW w:type="dxa" w:w="48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Equivalente a 25% do percentual máximo, condicionado a entregas e adimplência contratual.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Meses 13 a 48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0,625 p.p. por mês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Aquisição mensal dos 22,5 p.p. restantes.</w:t>
            </w:r>
          </w:p>
        </w:tc>
      </w:tr>
      <w:tr>
        <w:trPr>
          <w:cantSplit/>
        </w:trPr>
        <w:tc>
          <w:tcPr>
            <w:tcW w:type="dxa" w:w="23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Conclusão do mês 48</w:t>
            </w:r>
          </w:p>
        </w:tc>
        <w:tc>
          <w:tcPr>
            <w:tcW w:type="dxa" w:w="22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Até 30%</w:t>
            </w:r>
          </w:p>
        </w:tc>
        <w:tc>
          <w:tcPr>
            <w:tcW w:type="dxa" w:w="48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Vesting integral, desde que não haja suspensão, abandono ou violação material.</w:t>
            </w:r>
          </w:p>
        </w:tc>
      </w:tr>
    </w:tbl>
    <w:p>
      <w:pPr>
        <w:spacing w:after="20"/>
        <w:widowControl/>
      </w:pP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 vesting depende de contribuição efetiva, cumprimento das entregas, manutenção da documentação, continuidade técnica, segurança, confidencialidade e ausência de violação material.</w:t>
      </w:r>
    </w:p>
    <w:p>
      <w:pPr>
        <w:pStyle w:val="Heading2"/>
        <w:keepNext/>
        <w:widowControl/>
      </w:pPr>
      <w:r>
        <w:t>7.1. Saída regular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Em saída consensual ou sem culpa da Parceira após o cliff, a parcela adquirida será preservada pelo prazo de 60 meses contado da saída, exclusivamente sobre lucros do núcleo da plataforma existente até a data de saída. Após esse prazo, extingue-se, salvo renovação escrita. A parcela não adquirida retorna à reserva estratégica do projeto.</w:t>
      </w:r>
    </w:p>
    <w:p>
      <w:pPr>
        <w:pStyle w:val="Heading2"/>
        <w:keepNext/>
        <w:widowControl/>
      </w:pPr>
      <w:r>
        <w:t>7.2. Saída antes do cliff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Se a Parceira sair antes de 12 meses, não haverá participação econômica permanente, permanecendo apenas o direito aos valores de horas aprovadas e não pagas.</w:t>
      </w:r>
    </w:p>
    <w:p>
      <w:pPr>
        <w:pStyle w:val="Heading2"/>
        <w:keepNext/>
        <w:widowControl/>
      </w:pPr>
      <w:r>
        <w:t>7.3. Violação grave ou abandono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Em caso de quebra de confidencialidade, apropriação de propriedade intelectual, uso indevido de dados, concorrência por uso do know-how, retenção de código, fraude ou abandono injustificado, a parcela não adquirida será perdida. A parcela adquirida poderá ser suspensa e os créditos compensados com danos apurados, respeitado o procedimento contratual e a legislação aplicável.</w:t>
      </w:r>
    </w:p>
    <w:p>
      <w:pPr>
        <w:pStyle w:val="Heading1"/>
        <w:keepNext/>
        <w:widowControl/>
      </w:pPr>
      <w:r>
        <w:t>8. Responsabilidades da DiverCidade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Definir visão, estratégia, prioridades, metodologia, experiência e regras de negócio.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Liderar clientes, pilotos, investidores, posicionamento, preços e política comercial.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Fornecer requisitos funcionais e validar entregas.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Definir finalidades legítimas de uso dos dados e aprovar acessos.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Tomar a decisão final sobre marca, mercado, investidores, licenciamento e propriedade intelectual.</w:t>
      </w:r>
    </w:p>
    <w:p>
      <w:pPr>
        <w:pStyle w:val="Heading1"/>
        <w:keepNext/>
        <w:widowControl/>
      </w:pPr>
      <w:r>
        <w:t>9. Responsabilidades da Parceira Tecnológica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Propor e implementar a arquitetura técnica aprovada.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Desenvolver, testar, documentar e corrigir as entregas.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Informar riscos, limitações, custos e dependências.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Proteger credenciais, dados, ambientes e repositórios.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Entregar código-fonte, documentação, diagramas, fluxos e especificações.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Utilizar apenas componentes e bibliotecas com licença compatível.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Evitar dependência técnica proposital e apoiar eventual transição.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Cumprir o NDA, a proteção de dados, a não replicação e a não circunvenção.</w:t>
      </w:r>
    </w:p>
    <w:p>
      <w:pPr>
        <w:pStyle w:val="Heading1"/>
        <w:keepNext/>
        <w:widowControl/>
      </w:pPr>
      <w:r>
        <w:t>10. Governança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Decisões estratégicas — posicionamento, público, preço, clientes, pilotos, investidores, marca, licenciamento e uso da reserva — são de responsabilidade final da DiverCidade.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Decisões técnicas serão propostas pela Parceira e discutidas em conjunto. A DiverCidade poderá recusar solução que crie custo desproporcional, risco jurídico ou de segurança, incompatibilidade estratégica ou dependência indevida.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Custos, contratação de terceiros, aumento de infraestrutura, licenças e despesas extraordinárias exigem aprovação prévia escrita.</w:t>
      </w:r>
    </w:p>
    <w:p>
      <w:pPr>
        <w:pStyle w:val="Heading1"/>
        <w:keepNext/>
        <w:widowControl/>
      </w:pPr>
      <w:r>
        <w:t>11. Propriedade intelectual preexistente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Cada Parte mantém os direitos sobre ativos comprovadamente anteriores ao projeto. Todo componente preexistente usado no HUB deverá ser identificado em anexo, com licença, limitações e dependências.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Se um componente preexistente da Parceira for indispensável, a DiverCidade receberá licença suficiente, irrevogável durante a exploração da plataforma, válida no Brasil e exterior, transferível em reorganização, investimento ou aquisição e apta a permitir uso, hospedagem, manutenção, adaptação e continuidade.</w:t>
      </w:r>
    </w:p>
    <w:p>
      <w:pPr>
        <w:pStyle w:val="Heading1"/>
        <w:keepNext/>
        <w:widowControl/>
      </w:pPr>
      <w:r>
        <w:t>12. Propriedade intelectual criada para o HUB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Pertencerão à DiverCidade os direitos patrimoniais sobre ativos criados especificamente para o HUB, incluindo: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Código-fonte e código-objeto; bancos de dados; APIs; integrações; documentação e diagramas.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Arquitetura funcional específica, interfaces, jornadas, fluxos e regras de negócio.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Taxonomias, fórmulas, indicadores e modelos de conexão entre pessoas, operação e finanças.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Motores de alerta, recomendação, causalidade, previsão e simulação.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Prompts, agentes, modelos e fluxos de inteligência artificial.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Marca, identidade, materiais, treinamentos, melhorias, derivações e aprendizados dos pilotos.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participação econômica da Parceira constitui contrapartida contratual e não altera a titularidade da DiverCidade. Código e documentação ficarão em repositório institucional sob controle ou administração compartilhada da DiverCidade.</w:t>
      </w:r>
    </w:p>
    <w:p>
      <w:pPr>
        <w:pStyle w:val="Heading1"/>
        <w:keepNext/>
        <w:widowControl/>
      </w:pPr>
      <w:r>
        <w:t>13. Continuidade e independência técnica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Contas de nuvem, domínio, banco, APIs críticas e produção devem ficar em nome da DiverCidade ou com acesso administrativo da DiverCidade.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 Parceira não poderá reter código, bloquear ambientes, excluir dados, alterar credenciais para impedir acesso ou condicionar ativos já produzidos a participação adicional.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Na saída, deverá entregar código, documentação, credenciais e apoiar transição por até [30/60] dias, nas condições aprovadas.</w:t>
      </w:r>
    </w:p>
    <w:p>
      <w:pPr>
        <w:pStyle w:val="Heading1"/>
        <w:keepNext/>
        <w:widowControl/>
      </w:pPr>
      <w:r>
        <w:t>14. NDA — Informações confidenciais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Considera-se confidencial toda informação revelada, produzida ou acessada na parceria, independentemente de marcação, quando sua natureza exigir proteção, incluindo: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Estratégia, roadmap, preços, propostas, clientes, investidores e parceiros.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Arquitetura, código, protótipos, requisitos, integrações, credenciais e segurança.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Metodologias, indicadores, fórmulas de ROI e conexões entre pessoas e finanças.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Modelos de alerta, recomendação, previsão, simulação, prompts e agentes.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Dados e aprendizados de clientes, candidatos, fornecedores, colaboradores, alunos, universidades e pilotos.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Informações financeiras e qualquer segredo de negócio da DiverCidade ou de seus clientes.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Parceira utilizará essas informações somente no HUB, restringirá acesso a quem necessitar, aplicará obrigações equivalentes a empregados e subcontratados, adotará segurança adequada, comunicará incidentes e devolverá ou eliminará as informações quando solicitado.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Excluem-se informações comprovadamente públicas sem violação, legitimamente possuídas antes, recebidas de terceiro autorizado, desenvolvidas de forma independente sem uso do conteúdo protegido ou exigidas por autoridade competente.</w:t>
      </w:r>
    </w:p>
    <w:p>
      <w:pPr>
        <w:pStyle w:val="Heading1"/>
        <w:keepNext/>
        <w:widowControl/>
      </w:pPr>
      <w:r>
        <w:t>15. Não uso e não replicação do conhecimento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Parceira não poderá utilizar, adaptar, reproduzir, ensinar, licenciar, comercializar ou aplicar, em projeto próprio ou de terceiro, o conhecimento específico e confidencial desenvolvido ou acessado na parceria.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Replicar a arquitetura lógica ou funcional específica do HUB.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Criar solução concorrente baseada nos fluxos, metodologias ou aprendizados do HUB.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Reutilizar modelos de conexão entre pessoas e indicadores financeiros.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Reproduzir motores de alerta, recomendação, causalidade, previsão ou simulação.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Usar taxonomias, fórmulas, indicadores, prompts, documentação, wireframes ou requisitos específicos.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Usar aprendizados de pilotos ou apresentar metodologia da DiverCidade como própria.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Oferecer a concorrentes solução substancialmente derivada do know-how protegido.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restrição não impede o uso de conhecimentos técnicos gerais, linguagens, frameworks, padrões públicos, bibliotecas de mercado e experiência profissional que não incorporem nem revelem conhecimento específico da DiverCidade.</w:t>
      </w:r>
    </w:p>
    <w:p>
      <w:pPr>
        <w:pStyle w:val="Heading1"/>
        <w:keepNext/>
        <w:widowControl/>
      </w:pPr>
      <w:r>
        <w:t>16. Não concorrência por apropriação de know-how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Durante o contrato e por 24 meses após seu término, a Parceira não poderá desenvolver ou participar de plataforma concorrente que reproduza substancialmente o HUB, utilize informação confidencial, derive de materiais ou aprendizados da DiverCidade ou seja oferecida aos mesmos clientes com base no conhecimento protegido.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restrição não constitui proibição genérica de atuar em tecnologia, dados, software ou inteligência artificial; limita-se à apropriação do know-how específico e confidencial.</w:t>
      </w:r>
    </w:p>
    <w:p>
      <w:pPr>
        <w:pStyle w:val="Heading1"/>
        <w:keepNext/>
        <w:widowControl/>
      </w:pPr>
      <w:r>
        <w:t>17. Não aliciamento e não circunvenção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Durante a vigência e por 24 meses após o término, sem autorização da DiverCidade, a Parceira não poderá aliciar profissionais essenciais para produto concorrente; abordar clientes, investidores ou parceiros conhecidos pela parceria para oferecer solução derivada; excluir a DiverCidade de oportunidades originadas pelo HUB; ou negociar paralelamente usando contatos e conhecimento obtidos no projeto.</w:t>
      </w:r>
    </w:p>
    <w:p>
      <w:pPr>
        <w:pStyle w:val="Heading1"/>
        <w:keepNext/>
        <w:widowControl/>
      </w:pPr>
      <w:r>
        <w:t>18. Proteção de dados e segurança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Antes do tratamento de dados pessoais, as Partes celebrarão anexo específico que defina controlador, operador, finalidade, base legal, categorias, dados sensíveis, suboperadores, retenção, direitos dos titulares, incidentes, auditoria, eliminação e transferências internacionais.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 Parceira tratará dados somente conforme instruções documentadas e finalidades aprovadas.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Deverá aplicar controle de acesso, MFA administrativo, criptografia, gestão de segredos, backup, logs, segregação de clientes e resposta a incidentes.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Incidente será comunicado à DiverCidade em até 24 horas da identificação, ainda que preliminar.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Subcontratação com acesso a código, dados ou informação confidencial exige autorização e obrigações equivalentes.</w:t>
      </w:r>
    </w:p>
    <w:p>
      <w:pPr>
        <w:pStyle w:val="Heading1"/>
        <w:keepNext/>
        <w:widowControl/>
      </w:pPr>
      <w:r>
        <w:t>19. Entrada de investidores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entrada poderá ocorrer mediante atribuição dos 10% reservados, investimento na DiverCidade, sociedade específica, instrumento conversível, licenciamento ou parceria estratégica. Não alterará automaticamente os 60% ou os 30%; qualquer mudança exigirá aditivo.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O investidor deverá aderir às regras de confidencialidade, propriedade intelectual, governança e dados. A decisão final sobre ingresso e condições cabe à DiverCidade.</w:t>
      </w:r>
    </w:p>
    <w:p>
      <w:pPr>
        <w:pStyle w:val="Heading1"/>
        <w:keepNext/>
        <w:widowControl/>
      </w:pPr>
      <w:r>
        <w:t>20. Comercialização e receitas especiais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DiverCidade liderará estratégia comercial, preço, contratação e relacionamento institucional. Nenhuma Parte poderá prometer funcionalidade, prazo, desconto, licença ou compromisso em nome do projeto sem autorização.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Customizações serão previamente classificadas como receita da plataforma, serviço próprio da DiverCidade, serviço técnico da Parceira ou projeto conjunto, determinando custos, horas e incidência da participação.</w:t>
      </w:r>
    </w:p>
    <w:p>
      <w:pPr>
        <w:pStyle w:val="Heading1"/>
        <w:keepNext/>
        <w:widowControl/>
      </w:pPr>
      <w:r>
        <w:t>21. Aceite, manutenção e níveis de serviço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Cada ciclo terá escopo, estimativa, critérios de aceite e prazo. Erros em entrega aceita serão corrigidos sem novas horas durante o período de garantia [●]. Mudanças de escopo e novas funcionalidades podem gerar horas.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rPr>
          <w:cantSplit/>
        </w:trPr>
        <w:tc>
          <w:tcPr>
            <w:tcW w:type="dxa" w:w="17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Criticidade</w:t>
            </w:r>
          </w:p>
        </w:tc>
        <w:tc>
          <w:tcPr>
            <w:tcW w:type="dxa" w:w="40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366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Tratamento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Crítica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Indisponibilidade total, vazamento ou risco grave.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Resposta e contenção imediatas; prazos definidos no SLA.</w:t>
            </w:r>
          </w:p>
        </w:tc>
      </w:tr>
      <w:tr>
        <w:trPr>
          <w:cantSplit/>
        </w:trPr>
        <w:tc>
          <w:tcPr>
            <w:tcW w:type="dxa" w:w="17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Alta</w:t>
            </w:r>
          </w:p>
        </w:tc>
        <w:tc>
          <w:tcPr>
            <w:tcW w:type="dxa" w:w="40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Função essencial comprometida.</w:t>
            </w:r>
          </w:p>
        </w:tc>
        <w:tc>
          <w:tcPr>
            <w:tcW w:type="dxa" w:w="36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Prioridade elevada e alternativa temporária quando possível.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Média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Falha com alternativa.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Correção planejada conforme sprint.</w:t>
            </w:r>
          </w:p>
        </w:tc>
      </w:tr>
      <w:tr>
        <w:trPr>
          <w:cantSplit/>
        </w:trPr>
        <w:tc>
          <w:tcPr>
            <w:tcW w:type="dxa" w:w="17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Baixa</w:t>
            </w:r>
          </w:p>
        </w:tc>
        <w:tc>
          <w:tcPr>
            <w:tcW w:type="dxa" w:w="40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Ajuste ou melhoria.</w:t>
            </w:r>
          </w:p>
        </w:tc>
        <w:tc>
          <w:tcPr>
            <w:tcW w:type="dxa" w:w="36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Backlog e priorização conjunta.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22. Vigência, rescisão e efeitos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Vigência inicial de [24/36] meses, renovável. Denúncia imotivada mediante aviso de [60/90] dias. Rescisão imediata em caso de violação grave, uso indevido de dados, propriedade intelectual, confidencialidade, abandono, fraude ou risco relevante.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No término haverá entrega integral dos ativos, encerramento de acessos, devolução ou eliminação de dados, prestação de contas, apuração das horas e aplicação das regras de vesting. Confidencialidade, propriedade intelectual, não uso, proteção de dados e responsabilidades sobreviverão conforme sua natureza. Segredos de negócio permanecem protegidos enquanto confidenciais.</w:t>
      </w:r>
    </w:p>
    <w:p>
      <w:pPr>
        <w:pStyle w:val="Heading1"/>
        <w:keepNext/>
        <w:widowControl/>
      </w:pPr>
      <w:r>
        <w:t>23. Penalidades e responsabilidade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Violação de confidencialidade, propriedade intelectual, não replicação, dados, não circunvenção ou retenção de código sujeitará o infrator à cessação imediata, devolução/eliminação, perda da parcela não adquirida, multa de R$ [●], reparação das perdas e danos excedentes, lucros cessantes e medidas de urgência.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Limitações de responsabilidade não abrangerão dolo, fraude, confidencialidade, propriedade intelectual, dados pessoais, concorrência desleal, apropriação de clientes ou destruição/retenção de ativos.</w:t>
      </w:r>
    </w:p>
    <w:p>
      <w:pPr>
        <w:pStyle w:val="Heading1"/>
        <w:keepNext/>
        <w:widowControl/>
      </w:pPr>
      <w:r>
        <w:t>24. Auditoria e prestação de contas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Serão mantidos registros de horas, despesas, receitas, pagamentos, acessos, decisões, versões, entregas, incidentes e licenças. A DiverCidade poderá auditar registros técnicos; a Parceira poderá verificar demonstrativos usados no cálculo de sua participação, preservados os demais negócios da DiverCidade.</w:t>
      </w:r>
    </w:p>
    <w:p>
      <w:pPr>
        <w:pStyle w:val="Heading1"/>
        <w:keepNext/>
        <w:widowControl/>
      </w:pPr>
      <w:r>
        <w:t>25. Solução de conflitos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As Partes buscarão negociação por pelo menos 15 dias e poderão utilizar mediação. Fica eleito o foro de [●], salvo opção expressa por arbitragem em instrumento específico.</w:t>
      </w:r>
    </w:p>
    <w:p>
      <w:pPr>
        <w:pStyle w:val="Heading1"/>
        <w:keepNext/>
        <w:widowControl/>
      </w:pPr>
      <w:r>
        <w:t>26. Anexos integrantes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I — Escopo funcional e roadmap dos MVPs.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II — Backlog, horas, valores e fluxo de aprovação.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III — Critérios de aceite e níveis de serviço.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IV — Ativos e propriedade intelectual preexistentes.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V — Matriz de responsabilidades e governança.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VI — Acordo de tratamento de dados e segurança.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VII — Regras de cálculo e distribuição dos lucros.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VIII — Cronograma de vesting e eventos de saída.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Anexo IX — NDA aplicável à equipe e aos subcontratados.</w:t>
      </w:r>
    </w:p>
    <w:p>
      <w:pPr>
        <w:pStyle w:val="Heading1"/>
        <w:keepNext/>
        <w:widowControl/>
      </w:pPr>
      <w:r>
        <w:t>27. Campos para validação jurídica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700"/>
        <w:gridCol w:w="2460"/>
      </w:tblGrid>
      <w:tr>
        <w:trPr>
          <w:cantSplit/>
        </w:trPr>
        <w:tc>
          <w:tcPr>
            <w:tcW w:type="dxa" w:w="22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470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Definição proposta</w:t>
            </w:r>
          </w:p>
        </w:tc>
        <w:tc>
          <w:tcPr>
            <w:tcW w:type="dxa" w:w="246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Pendência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Vesting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48 meses; cliff de 12; 7,5 p.p. no mês 12; 0,625 p.p./mês depois.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Validar efeitos tributários e saída.</w:t>
            </w:r>
          </w:p>
        </w:tc>
      </w:tr>
      <w:tr>
        <w:trPr>
          <w:cantSplit/>
        </w:trPr>
        <w:tc>
          <w:tcPr>
            <w:tcW w:type="dxa" w:w="22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Reserva investidores</w:t>
            </w:r>
          </w:p>
        </w:tc>
        <w:tc>
          <w:tcPr>
            <w:tcW w:type="dxa" w:w="47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10% retidos no caixa até atribuição formal.</w:t>
            </w:r>
          </w:p>
        </w:tc>
        <w:tc>
          <w:tcPr>
            <w:tcW w:type="dxa" w:w="24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Definir contabilização.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Multa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R$ [●] por violação, sem limitar danos excedentes.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Definir valor proporcional.</w:t>
            </w:r>
          </w:p>
        </w:tc>
      </w:tr>
      <w:tr>
        <w:trPr>
          <w:cantSplit/>
        </w:trPr>
        <w:tc>
          <w:tcPr>
            <w:tcW w:type="dxa" w:w="22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Vigência/aviso</w:t>
            </w:r>
          </w:p>
        </w:tc>
        <w:tc>
          <w:tcPr>
            <w:tcW w:type="dxa" w:w="47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[24/36] meses; [60/90] dias.</w:t>
            </w:r>
          </w:p>
        </w:tc>
        <w:tc>
          <w:tcPr>
            <w:tcW w:type="dxa" w:w="24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Escolher prazos.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Foro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[●]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Definir comarca.</w:t>
            </w:r>
          </w:p>
        </w:tc>
      </w:tr>
      <w:tr>
        <w:trPr>
          <w:cantSplit/>
        </w:trPr>
        <w:tc>
          <w:tcPr>
            <w:tcW w:type="dxa" w:w="22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SLA/garantia</w:t>
            </w:r>
          </w:p>
        </w:tc>
        <w:tc>
          <w:tcPr>
            <w:tcW w:type="dxa" w:w="470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Anexo técnico.</w:t>
            </w:r>
          </w:p>
        </w:tc>
        <w:tc>
          <w:tcPr>
            <w:tcW w:type="dxa" w:w="246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Definir prazos por criticidade.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Tributação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Participação contratual em lucros.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Validar modelo fiscal e notas.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28. Referências legais para revisão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A estrutura deverá ser revisada considerando, entre outras normas aplicáveis: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Código Civil — liberdade contratual, alocação de riscos e boa-fé: https://www.planalto.gov.br/ccivil_03/leis/2002/l10406compilada.htm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Lei nº 9.609/1998 — proteção e contratos relativos a programas de computador: https://www.planalto.gov.br/ccivil_03/leis/l9609.htm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Lei nº 9.610/1998 — direitos autorais: https://www.planalto.gov.br/ccivil_03/leis/l9610.htm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Lei nº 13.709/2018 — Lei Geral de Proteção de Dados Pessoais: https://www.planalto.gov.br/ccivil_03/_ato2015-2018/2018/lei/l13709.htm</w:t>
      </w:r>
    </w:p>
    <w:p>
      <w:pPr>
        <w:pStyle w:val="ListBullet"/>
        <w:ind w:left="547" w:hanging="274"/>
        <w:widowControl/>
      </w:pPr>
      <w:r>
        <w:rPr>
          <w:rFonts w:ascii="Calibri" w:hAnsi="Calibri"/>
          <w:color w:val="172B3A"/>
          <w:sz w:val="22"/>
        </w:rPr>
        <w:t>Lei nº 9.279/1996 — propriedade industrial, segredos e concorrência desleal: https://www.planalto.gov.br/ccivil_03/leis/l9279.htm</w:t>
      </w:r>
    </w:p>
    <w:p>
      <w:pPr>
        <w:pStyle w:val="Heading1"/>
        <w:keepNext/>
        <w:widowControl/>
      </w:pPr>
      <w:r>
        <w:t>29. Assinaturas</w:t>
      </w:r>
    </w:p>
    <w:p>
      <w:pPr>
        <w:spacing w:after="120"/>
        <w:widowControl/>
      </w:pPr>
      <w:r>
        <w:rPr>
          <w:rFonts w:ascii="Calibri" w:hAnsi="Calibri"/>
          <w:b w:val="0"/>
          <w:i w:val="0"/>
          <w:color w:val="172B3A"/>
          <w:sz w:val="22"/>
        </w:rPr>
        <w:t>[LOCAL], [DATA].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DiverCidade HUB</w:t>
            </w:r>
          </w:p>
        </w:tc>
        <w:tc>
          <w:tcPr>
            <w:tcW w:type="dxa" w:w="4680"/>
            <w:shd w:fill="002B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Parceira Tecnológica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Nome:</w:t>
              <w:br/>
              <w:t>Cargo:</w:t>
              <w:br/>
              <w:t>Assinatura: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Nome:</w:t>
              <w:br/>
              <w:t>Cargo:</w:t>
              <w:br/>
              <w:t>Assinatura:</w:t>
            </w:r>
          </w:p>
        </w:tc>
      </w:tr>
      <w:tr>
        <w:trPr>
          <w:cantSplit/>
        </w:trPr>
        <w:tc>
          <w:tcPr>
            <w:tcW w:type="dxa" w:w="468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Testemunha 1:</w:t>
              <w:br/>
              <w:t>Nome/CPF/Assinatura:</w:t>
            </w:r>
          </w:p>
        </w:tc>
        <w:tc>
          <w:tcPr>
            <w:tcW w:type="dxa" w:w="4680"/>
            <w:shd w:fill="F3F7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8"/>
              </w:rPr>
              <w:t>Testemunha 2:</w:t>
              <w:br/>
              <w:t>Nome/CPF/Assinatura:</w:t>
            </w:r>
          </w:p>
        </w:tc>
      </w:tr>
    </w:tbl>
    <w:p>
      <w:pPr>
        <w:spacing w:after="20"/>
        <w:widowControl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152" w:right="1296" w:bottom="1080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2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8E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6D4AA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Parceria Tecnológica — DiverCidade HUB</dc:title>
  <dc:subject>Participação futura nos lucros, desenvolvimento, vesting, propriedade intelectual e NDA</dc:subject>
  <dc:creator>DiverCidade HUB</dc:creator>
  <cp:keywords>HUB, parceria tecnológica, lucros, vesting, NDA, propriedade intelectual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