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Avaliação honesta dos planos de negócio e projeto do HUB</w:t>
      </w:r>
    </w:p>
    <w:p>
      <w:pPr>
        <w:pStyle w:val="Heading2"/>
      </w:pPr>
      <w:r>
        <w:t>Veredito executivo</w:t>
      </w:r>
    </w:p>
    <w:p>
      <w:r>
        <w:t>O HUB tem uma arquitetura de pensamento muito acima da média, mas ainda não tem evidência suficiente para ser tratado como negócio validado, plataforma pronta ou projeto pronto para escala.</w:t>
      </w:r>
    </w:p>
    <w:p>
      <w:r>
        <w:t>Minha leitura: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rFonts w:ascii="Aptos" w:hAnsi="Aptos"/>
                <w:b/>
                <w:sz w:val="18"/>
              </w:rPr>
              <w:t>Dimensão</w:t>
            </w:r>
          </w:p>
        </w:tc>
        <w:tc>
          <w:tcPr>
            <w:tcW w:type="dxa" w:w="4986"/>
            <w:shd w:fill="D9EAF7"/>
          </w:tcPr>
          <w:p>
            <w:r>
              <w:rPr>
                <w:rFonts w:ascii="Aptos" w:hAnsi="Aptos"/>
                <w:b/>
                <w:sz w:val="18"/>
              </w:rPr>
              <w:t>Avaliação</w:t>
            </w:r>
          </w:p>
        </w:tc>
      </w:tr>
      <w:tr>
        <w:tc>
          <w:tcPr>
            <w:tcW w:type="dxa" w:w="4986"/>
          </w:tcPr>
          <w:p>
            <w:r>
              <w:rPr>
                <w:rFonts w:ascii="Aptos" w:hAnsi="Aptos"/>
                <w:b w:val="0"/>
                <w:sz w:val="18"/>
              </w:rPr>
              <w:t>Qualidade da estrutura estratégica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b w:val="0"/>
                <w:sz w:val="18"/>
              </w:rPr>
              <w:t>**Boa**</w:t>
            </w:r>
          </w:p>
        </w:tc>
      </w:tr>
      <w:tr>
        <w:tc>
          <w:tcPr>
            <w:tcW w:type="dxa" w:w="4986"/>
          </w:tcPr>
          <w:p>
            <w:r>
              <w:rPr>
                <w:rFonts w:ascii="Aptos" w:hAnsi="Aptos"/>
                <w:b w:val="0"/>
                <w:sz w:val="18"/>
              </w:rPr>
              <w:t>Disciplina de governança e rastreabilidade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b w:val="0"/>
                <w:sz w:val="18"/>
              </w:rPr>
              <w:t>**Boa no desenho; não comprovada na operação**</w:t>
            </w:r>
          </w:p>
        </w:tc>
      </w:tr>
      <w:tr>
        <w:tc>
          <w:tcPr>
            <w:tcW w:type="dxa" w:w="4986"/>
          </w:tcPr>
          <w:p>
            <w:r>
              <w:rPr>
                <w:rFonts w:ascii="Aptos" w:hAnsi="Aptos"/>
                <w:b w:val="0"/>
                <w:sz w:val="18"/>
              </w:rPr>
              <w:t>Validação comercial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b w:val="0"/>
                <w:sz w:val="18"/>
              </w:rPr>
              <w:t>**Fraca / inicial**</w:t>
            </w:r>
          </w:p>
        </w:tc>
      </w:tr>
      <w:tr>
        <w:tc>
          <w:tcPr>
            <w:tcW w:type="dxa" w:w="4986"/>
          </w:tcPr>
          <w:p>
            <w:r>
              <w:rPr>
                <w:rFonts w:ascii="Aptos" w:hAnsi="Aptos"/>
                <w:b w:val="0"/>
                <w:sz w:val="18"/>
              </w:rPr>
              <w:t>Clareza do beachhead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b w:val="0"/>
                <w:sz w:val="18"/>
              </w:rPr>
              <w:t>**Insuficiente**</w:t>
            </w:r>
          </w:p>
        </w:tc>
      </w:tr>
      <w:tr>
        <w:tc>
          <w:tcPr>
            <w:tcW w:type="dxa" w:w="4986"/>
          </w:tcPr>
          <w:p>
            <w:r>
              <w:rPr>
                <w:rFonts w:ascii="Aptos" w:hAnsi="Aptos"/>
                <w:b w:val="0"/>
                <w:sz w:val="18"/>
              </w:rPr>
              <w:t>Prontidão de execução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b w:val="0"/>
                <w:sz w:val="18"/>
              </w:rPr>
              <w:t>**Baixa**</w:t>
            </w:r>
          </w:p>
        </w:tc>
      </w:tr>
      <w:tr>
        <w:tc>
          <w:tcPr>
            <w:tcW w:type="dxa" w:w="4986"/>
          </w:tcPr>
          <w:p>
            <w:r>
              <w:rPr>
                <w:rFonts w:ascii="Aptos" w:hAnsi="Aptos"/>
                <w:b w:val="0"/>
                <w:sz w:val="18"/>
              </w:rPr>
              <w:t>Prontidão para investidores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b w:val="0"/>
                <w:sz w:val="18"/>
              </w:rPr>
              <w:t>**Baixa**</w:t>
            </w:r>
          </w:p>
        </w:tc>
      </w:tr>
      <w:tr>
        <w:tc>
          <w:tcPr>
            <w:tcW w:type="dxa" w:w="4986"/>
          </w:tcPr>
          <w:p>
            <w:r>
              <w:rPr>
                <w:rFonts w:ascii="Aptos" w:hAnsi="Aptos"/>
                <w:b w:val="0"/>
                <w:sz w:val="18"/>
              </w:rPr>
              <w:t>Risco de excesso de planejamento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b w:val="0"/>
                <w:sz w:val="18"/>
              </w:rPr>
              <w:t>**Alto**</w:t>
            </w:r>
          </w:p>
        </w:tc>
      </w:tr>
    </w:tbl>
    <w:p/>
    <w:p>
      <w:r>
        <w:t>A frase mais precisa seria:</w:t>
      </w:r>
    </w:p>
    <w:p>
      <w:pPr>
        <w:pStyle w:val="IntenseQuote"/>
      </w:pPr>
      <w:r>
        <w:t>O HUB está pronto para executar uma validação comercial enxuta, mas não está pronto para construir a plataforma completa nem para apresentar uma tese de negócio recorrente como comprovada.</w:t>
      </w:r>
    </w:p>
    <w:p/>
    <w:p>
      <w:pPr>
        <w:pStyle w:val="Heading1"/>
      </w:pPr>
      <w:r>
        <w:t>1. O que está realmente forte</w:t>
      </w:r>
    </w:p>
    <w:p>
      <w:pPr>
        <w:pStyle w:val="Heading2"/>
      </w:pPr>
      <w:r>
        <w:t>1.1. O plano evita inflar hipóteses como tração</w:t>
      </w:r>
    </w:p>
    <w:p>
      <w:r>
        <w:t>O Documento-Mãe v2 faz algo correto e raro: separa explicitamente:</w:t>
      </w:r>
    </w:p>
    <w:p>
      <w:pPr>
        <w:pStyle w:val="ListBullet"/>
      </w:pPr>
      <w:r>
        <w:t>comprovado;</w:t>
      </w:r>
    </w:p>
    <w:p>
      <w:pPr>
        <w:pStyle w:val="ListBullet"/>
      </w:pPr>
      <w:r>
        <w:t>observado;</w:t>
      </w:r>
    </w:p>
    <w:p>
      <w:pPr>
        <w:pStyle w:val="ListBullet"/>
      </w:pPr>
      <w:r>
        <w:t>hipótese;</w:t>
      </w:r>
    </w:p>
    <w:p>
      <w:pPr>
        <w:pStyle w:val="ListBullet"/>
      </w:pPr>
      <w:r>
        <w:t>decisão;</w:t>
      </w:r>
    </w:p>
    <w:p>
      <w:pPr>
        <w:pStyle w:val="ListBullet"/>
      </w:pPr>
      <w:r>
        <w:t>opção.</w:t>
      </w:r>
    </w:p>
    <w:p>
      <w:r>
        <w:t>Também afirma que não há, nos artefatos atuais:</w:t>
      </w:r>
    </w:p>
    <w:p>
      <w:pPr>
        <w:pStyle w:val="ListBullet"/>
      </w:pPr>
      <w:r>
        <w:t>tração comprovada;</w:t>
      </w:r>
    </w:p>
    <w:p>
      <w:pPr>
        <w:pStyle w:val="ListBullet"/>
      </w:pPr>
      <w:r>
        <w:t>parceiro comprometido;</w:t>
      </w:r>
    </w:p>
    <w:p>
      <w:pPr>
        <w:pStyle w:val="ListBullet"/>
      </w:pPr>
      <w:r>
        <w:t>preço validado;</w:t>
      </w:r>
    </w:p>
    <w:p>
      <w:pPr>
        <w:pStyle w:val="ListBullet"/>
      </w:pPr>
      <w:r>
        <w:t>resultados medidos;</w:t>
      </w:r>
    </w:p>
    <w:p>
      <w:pPr>
        <w:pStyle w:val="ListBullet"/>
      </w:pPr>
      <w:r>
        <w:t>TAM quantificado;</w:t>
      </w:r>
    </w:p>
    <w:p>
      <w:pPr>
        <w:pStyle w:val="ListBullet"/>
      </w:pPr>
      <w:r>
        <w:t>vantagem defensável comprovada;</w:t>
      </w:r>
    </w:p>
    <w:p>
      <w:pPr>
        <w:pStyle w:val="ListBullet"/>
      </w:pPr>
      <w:r>
        <w:t>capacidade de engenharia demonstrada.</w:t>
      </w:r>
    </w:p>
    <w:p>
      <w:r>
        <w:t>Essa honestidade melhora muito a qualidade do material. O plano não está tentando esconder as lacunas.</w:t>
      </w:r>
    </w:p>
    <w:p>
      <w:pPr>
        <w:pStyle w:val="Heading2"/>
      </w:pPr>
      <w:r>
        <w:t>1.2. A lógica de dependências é tecnicamente coerente</w:t>
      </w:r>
    </w:p>
    <w:p>
      <w:r>
        <w:t>A decisão de tratar P03 — Dados Canônicos como spine é racional para uma plataforma que quer afirmar:</w:t>
      </w:r>
    </w:p>
    <w:p>
      <w:pPr>
        <w:pStyle w:val="IntenseQuote"/>
      </w:pPr>
      <w:r>
        <w:t>origem → diagnóstico → intervenção → resultado → valor financeiro.</w:t>
      </w:r>
    </w:p>
    <w:p>
      <w:r>
        <w:t>Sem definições estáveis de entidade, evento, métrica e estado de valor, os cálculos de ROI realmente ficam frágeis.</w:t>
      </w:r>
    </w:p>
    <w:p>
      <w:r>
        <w:t>Os sub-gates M03.A e M03.B também são uma boa tentativa de evitar que dados, jurídico e tecnologia fiquem completamente bloqueados por um único pacote gigante.</w:t>
      </w:r>
    </w:p>
    <w:p>
      <w:pPr>
        <w:pStyle w:val="Heading2"/>
      </w:pPr>
      <w:r>
        <w:t>1.3. O MVP está corretamente descrito como serviço apoiado por software</w:t>
      </w:r>
    </w:p>
    <w:p>
      <w:r>
        <w:t>O plano acerta ao manter humanos nas partes mais incertas:</w:t>
      </w:r>
    </w:p>
    <w:p>
      <w:pPr>
        <w:pStyle w:val="ListBullet"/>
      </w:pPr>
      <w:r>
        <w:t>qualificação da demanda;</w:t>
      </w:r>
    </w:p>
    <w:p>
      <w:pPr>
        <w:pStyle w:val="ListBullet"/>
      </w:pPr>
      <w:r>
        <w:t>revisão de evidências;</w:t>
      </w:r>
    </w:p>
    <w:p>
      <w:pPr>
        <w:pStyle w:val="ListBullet"/>
      </w:pPr>
      <w:r>
        <w:t>curadoria;</w:t>
      </w:r>
    </w:p>
    <w:p>
      <w:pPr>
        <w:pStyle w:val="ListBullet"/>
      </w:pPr>
      <w:r>
        <w:t>matching;</w:t>
      </w:r>
    </w:p>
    <w:p>
      <w:pPr>
        <w:pStyle w:val="ListBullet"/>
      </w:pPr>
      <w:r>
        <w:t>interpretação;</w:t>
      </w:r>
    </w:p>
    <w:p>
      <w:pPr>
        <w:pStyle w:val="ListBullet"/>
      </w:pPr>
      <w:r>
        <w:t>decisões de reconhecimento;</w:t>
      </w:r>
    </w:p>
    <w:p>
      <w:pPr>
        <w:pStyle w:val="ListBullet"/>
      </w:pPr>
      <w:r>
        <w:t>suporte.</w:t>
      </w:r>
    </w:p>
    <w:p>
      <w:r>
        <w:t>Isso é muito mais realista do que começar prometendo IA autônoma, marketplace líquido ou automação completa.</w:t>
      </w:r>
    </w:p>
    <w:p>
      <w:pPr>
        <w:pStyle w:val="Heading2"/>
      </w:pPr>
      <w:r>
        <w:t>1.4. A governança é mais madura que a validação comercial</w:t>
      </w:r>
    </w:p>
    <w:p>
      <w:r>
        <w:t>Os planos têm bons controles contra:</w:t>
      </w:r>
    </w:p>
    <w:p>
      <w:pPr>
        <w:pStyle w:val="ListBullet"/>
      </w:pPr>
      <w:r>
        <w:t>confundir proposta com contrato;</w:t>
      </w:r>
    </w:p>
    <w:p>
      <w:pPr>
        <w:pStyle w:val="ListBullet"/>
      </w:pPr>
      <w:r>
        <w:t>tratar parceiro como pipeline;</w:t>
      </w:r>
    </w:p>
    <w:p>
      <w:pPr>
        <w:pStyle w:val="ListBullet"/>
      </w:pPr>
      <w:r>
        <w:t>misturar funding restrito com ARR;</w:t>
      </w:r>
    </w:p>
    <w:p>
      <w:pPr>
        <w:pStyle w:val="ListBullet"/>
      </w:pPr>
      <w:r>
        <w:t>afirmar ROI ilustrativo como resultado;</w:t>
      </w:r>
    </w:p>
    <w:p>
      <w:pPr>
        <w:pStyle w:val="ListBullet"/>
      </w:pPr>
      <w:r>
        <w:t>lançar selo sem independência;</w:t>
      </w:r>
    </w:p>
    <w:p>
      <w:pPr>
        <w:pStyle w:val="ListBullet"/>
      </w:pPr>
      <w:r>
        <w:t>publicar materiais acima do nível de evidência;</w:t>
      </w:r>
    </w:p>
    <w:p>
      <w:pPr>
        <w:pStyle w:val="ListBullet"/>
      </w:pPr>
      <w:r>
        <w:t>avançar sem rastreabilidade.</w:t>
      </w:r>
    </w:p>
    <w:p>
      <w:r>
        <w:t>O problema não é falta de consciência dos riscos. O problema é que o projeto ainda não converteu essa consciência em decisões operacionais e evidências externas.</w:t>
      </w:r>
    </w:p>
    <w:p/>
    <w:p>
      <w:pPr>
        <w:pStyle w:val="Heading1"/>
      </w:pPr>
      <w:r>
        <w:t>2. O principal problema: o projeto está mais desenvolvido que o negócio</w:t>
      </w:r>
    </w:p>
    <w:p>
      <w:r>
        <w:t>Hoje existe um desbalanceamento claro:</w:t>
      </w:r>
    </w:p>
    <w:p>
      <w:pPr>
        <w:pStyle w:val="ListBullet"/>
      </w:pPr>
      <w:r>
        <w:t>56 tarefas estruturadas;</w:t>
      </w:r>
    </w:p>
    <w:p>
      <w:pPr>
        <w:pStyle w:val="ListBullet"/>
      </w:pPr>
      <w:r>
        <w:t>7 fases e múltiplos gates;</w:t>
      </w:r>
    </w:p>
    <w:p>
      <w:pPr>
        <w:pStyle w:val="ListBullet"/>
      </w:pPr>
      <w:r>
        <w:t>73 indicadores;</w:t>
      </w:r>
    </w:p>
    <w:p>
      <w:pPr>
        <w:pStyle w:val="ListBullet"/>
      </w:pPr>
      <w:r>
        <w:t>cerca de 25 entidades canônicas;</w:t>
      </w:r>
    </w:p>
    <w:p>
      <w:pPr>
        <w:pStyle w:val="ListBullet"/>
      </w:pPr>
      <w:r>
        <w:t>aproximadamente 41 campos físicos;</w:t>
      </w:r>
    </w:p>
    <w:p>
      <w:pPr>
        <w:pStyle w:val="ListBullet"/>
      </w:pPr>
      <w:r>
        <w:t>6 módulos de produto;</w:t>
      </w:r>
    </w:p>
    <w:p>
      <w:pPr>
        <w:pStyle w:val="ListBullet"/>
      </w:pPr>
      <w:r>
        <w:t>4 unidades organizacionais;</w:t>
      </w:r>
    </w:p>
    <w:p>
      <w:pPr>
        <w:pStyle w:val="ListBullet"/>
      </w:pPr>
      <w:r>
        <w:t>planos de jurídico, LGPD, SLO, threat model, rollback, white-label e moat.</w:t>
      </w:r>
    </w:p>
    <w:p>
      <w:r>
        <w:t>Mas ainda não há:</w:t>
      </w:r>
    </w:p>
    <w:p>
      <w:pPr>
        <w:pStyle w:val="ListBullet"/>
      </w:pPr>
      <w:r>
        <w:t>comprador com orçamento confirmado;</w:t>
      </w:r>
    </w:p>
    <w:p>
      <w:pPr>
        <w:pStyle w:val="ListBullet"/>
      </w:pPr>
      <w:r>
        <w:t>piloto pago ou formalmente financiado;</w:t>
      </w:r>
    </w:p>
    <w:p>
      <w:pPr>
        <w:pStyle w:val="ListBullet"/>
      </w:pPr>
      <w:r>
        <w:t>contrato assinado;</w:t>
      </w:r>
    </w:p>
    <w:p>
      <w:pPr>
        <w:pStyle w:val="ListBullet"/>
      </w:pPr>
      <w:r>
        <w:t>autorização de dados efetiva;</w:t>
      </w:r>
    </w:p>
    <w:p>
      <w:pPr>
        <w:pStyle w:val="ListBullet"/>
      </w:pPr>
      <w:r>
        <w:t>preço validado;</w:t>
      </w:r>
    </w:p>
    <w:p>
      <w:pPr>
        <w:pStyle w:val="ListBullet"/>
      </w:pPr>
      <w:r>
        <w:t>custo real de entrega;</w:t>
      </w:r>
    </w:p>
    <w:p>
      <w:pPr>
        <w:pStyle w:val="ListBullet"/>
      </w:pPr>
      <w:r>
        <w:t>taxa de conversão reproduzida;</w:t>
      </w:r>
    </w:p>
    <w:p>
      <w:pPr>
        <w:pStyle w:val="ListBullet"/>
      </w:pPr>
      <w:r>
        <w:t>renovação;</w:t>
      </w:r>
    </w:p>
    <w:p>
      <w:pPr>
        <w:pStyle w:val="ListBullet"/>
      </w:pPr>
      <w:r>
        <w:t>segundo comprador comparável.</w:t>
      </w:r>
    </w:p>
    <w:p>
      <w:r>
        <w:t>Isso cria um risco clássico: construir uma infraestrutura sofisticada para um problema comercial que ainda pode mudar de forma.</w:t>
      </w:r>
    </w:p>
    <w:p>
      <w:r>
        <w:t>O plano reconhece esse risco no Documento-Mãe, mas sua própria estrutura de execução ainda empurra o time para muito trabalho de arquitetura antes de provar que alguém pagará pelo fluxo.</w:t>
      </w:r>
    </w:p>
    <w:p/>
    <w:p>
      <w:pPr>
        <w:pStyle w:val="Heading1"/>
      </w:pPr>
      <w:r>
        <w:t>3. O beachhead ainda não está resolvido</w:t>
      </w:r>
    </w:p>
    <w:p>
      <w:r>
        <w:t>Existe uma contradição estratégica importante entre os documentos.</w:t>
      </w:r>
    </w:p>
    <w:p>
      <w:pPr>
        <w:pStyle w:val="Heading2"/>
      </w:pPr>
      <w:r>
        <w:t>No Documento-Mãe v2</w:t>
      </w:r>
    </w:p>
    <w:p>
      <w:r>
        <w:t>A tese escolhida é a Candidata A:</w:t>
      </w:r>
    </w:p>
    <w:p>
      <w:pPr>
        <w:pStyle w:val="IntenseQuote"/>
      </w:pPr>
      <w:r>
        <w:t>fluxo apoiado por software, vendido a um comprador institucional, para preparar uma coorte de pequenas empresas para uma oportunidade real de contratação.</w:t>
      </w:r>
    </w:p>
    <w:p>
      <w:r>
        <w:t>O comprador hipotético seria uma associação, federação ou entidade de apoio empresarial.</w:t>
      </w:r>
    </w:p>
    <w:p>
      <w:pPr>
        <w:pStyle w:val="Heading2"/>
      </w:pPr>
      <w:r>
        <w:t>Na reunião com o SEBRAE</w:t>
      </w:r>
    </w:p>
    <w:p>
      <w:r>
        <w:t>A oportunidade concreta é diferente:</w:t>
      </w:r>
    </w:p>
    <w:p>
      <w:pPr>
        <w:pStyle w:val="ListBullet"/>
      </w:pPr>
      <w:r>
        <w:t>evento com 30 fornecedores;</w:t>
      </w:r>
    </w:p>
    <w:p>
      <w:pPr>
        <w:pStyle w:val="ListBullet"/>
      </w:pPr>
      <w:r>
        <w:t>compradores convidados;</w:t>
      </w:r>
    </w:p>
    <w:p>
      <w:pPr>
        <w:pStyle w:val="ListBullet"/>
      </w:pPr>
      <w:r>
        <w:t>base do evento usada como MVP;</w:t>
      </w:r>
    </w:p>
    <w:p>
      <w:pPr>
        <w:pStyle w:val="ListBullet"/>
      </w:pPr>
      <w:r>
        <w:t>foco inicial somente em fornecedores;</w:t>
      </w:r>
    </w:p>
    <w:p>
      <w:pPr>
        <w:pStyle w:val="ListBullet"/>
      </w:pPr>
      <w:r>
        <w:t>validação conjunta;</w:t>
      </w:r>
    </w:p>
    <w:p>
      <w:pPr>
        <w:pStyle w:val="ListBullet"/>
      </w:pPr>
      <w:r>
        <w:t>dados e cooperação técnica;</w:t>
      </w:r>
    </w:p>
    <w:p>
      <w:pPr>
        <w:pStyle w:val="ListBullet"/>
      </w:pPr>
      <w:r>
        <w:t>sem verba direta imediata;</w:t>
      </w:r>
    </w:p>
    <w:p>
      <w:pPr>
        <w:pStyle w:val="ListBullet"/>
      </w:pPr>
      <w:r>
        <w:t>contratação futura dependente de licitação;</w:t>
      </w:r>
    </w:p>
    <w:p>
      <w:pPr>
        <w:pStyle w:val="ListBullet"/>
      </w:pPr>
      <w:r>
        <w:t>possível remuneração por conteúdo e eventos.</w:t>
      </w:r>
    </w:p>
    <w:p>
      <w:r>
        <w:t>Isso é uma oportunidade real e mais concreta que a tese abstrata, mas ainda não equivale automaticamente ao beachhead institucional pago descrito no Documento-Mãe.</w:t>
      </w:r>
    </w:p>
    <w:p>
      <w:pPr>
        <w:pStyle w:val="Heading3"/>
      </w:pPr>
      <w:r>
        <w:t>Minha avaliação</w:t>
      </w:r>
    </w:p>
    <w:p>
      <w:r>
        <w:t>A reunião do SEBRAE é evidência de acesso, interesse e possibilidade de validação, não evidência de:</w:t>
      </w:r>
    </w:p>
    <w:p>
      <w:pPr>
        <w:pStyle w:val="ListBullet"/>
      </w:pPr>
      <w:r>
        <w:t>cliente;</w:t>
      </w:r>
    </w:p>
    <w:p>
      <w:pPr>
        <w:pStyle w:val="ListBullet"/>
      </w:pPr>
      <w:r>
        <w:t>receita;</w:t>
      </w:r>
    </w:p>
    <w:p>
      <w:pPr>
        <w:pStyle w:val="ListBullet"/>
      </w:pPr>
      <w:r>
        <w:t>piloto pago;</w:t>
      </w:r>
    </w:p>
    <w:p>
      <w:pPr>
        <w:pStyle w:val="ListBullet"/>
      </w:pPr>
      <w:r>
        <w:t>orçamento;</w:t>
      </w:r>
    </w:p>
    <w:p>
      <w:pPr>
        <w:pStyle w:val="ListBullet"/>
      </w:pPr>
      <w:r>
        <w:t>parceria contratual;</w:t>
      </w:r>
    </w:p>
    <w:p>
      <w:pPr>
        <w:pStyle w:val="ListBullet"/>
      </w:pPr>
      <w:r>
        <w:t>licença anual;</w:t>
      </w:r>
    </w:p>
    <w:p>
      <w:pPr>
        <w:pStyle w:val="ListBullet"/>
      </w:pPr>
      <w:r>
        <w:t>demanda recorrente.</w:t>
      </w:r>
    </w:p>
    <w:p>
      <w:r>
        <w:t>O próprio Bruno sinaliza a barreira: contratação direta de plataforma é difícil por causa de licitação.</w:t>
      </w:r>
    </w:p>
    <w:p>
      <w:r>
        <w:t>Portanto, o HUB precisa escolher explicitamente entre duas leituras:</w:t>
      </w:r>
    </w:p>
    <w:p>
      <w:pPr>
        <w:pStyle w:val="ListNumber"/>
      </w:pPr>
      <w:r>
        <w:t>O evento SEBRAE é o piloto de validação operacional, com receita eventualmente derivada de conteúdo/eventos, mas não necessariamente o primeiro cliente de software; ou</w:t>
      </w:r>
    </w:p>
    <w:p>
      <w:pPr>
        <w:pStyle w:val="ListNumber"/>
      </w:pPr>
      <w:r>
        <w:t>O SEBRAE é o comprador institucional do produto, hipótese que ainda requer instrumento formal, orçamento, jurídico e rota de contratação.</w:t>
      </w:r>
    </w:p>
    <w:p>
      <w:r>
        <w:t>Enquanto isso não for decidido, o projeto corre o risco de chamar uma colaboração de validação de “piloto comercial”.</w:t>
      </w:r>
    </w:p>
    <w:p/>
    <w:p>
      <w:pPr>
        <w:pStyle w:val="Heading1"/>
      </w:pPr>
      <w:r>
        <w:t>4. A evidência comercial ainda é muito fraca</w:t>
      </w:r>
    </w:p>
    <w:p>
      <w:r>
        <w:t>A reunião contém sinais positivos:</w:t>
      </w:r>
    </w:p>
    <w:p>
      <w:pPr>
        <w:pStyle w:val="ListBullet"/>
      </w:pPr>
      <w:r>
        <w:t>Bruno validou o uso da base como MVP;</w:t>
      </w:r>
    </w:p>
    <w:p>
      <w:pPr>
        <w:pStyle w:val="ListBullet"/>
      </w:pPr>
      <w:r>
        <w:t>houve abertura para conectar o HUB ao Speed e ao Cubo;</w:t>
      </w:r>
    </w:p>
    <w:p>
      <w:pPr>
        <w:pStyle w:val="ListBullet"/>
      </w:pPr>
      <w:r>
        <w:t>existe um evento com data e formato discutidos;</w:t>
      </w:r>
    </w:p>
    <w:p>
      <w:pPr>
        <w:pStyle w:val="ListBullet"/>
      </w:pPr>
      <w:r>
        <w:t>há uma dor real: medir conexão, proposta, contrato, receita e economia;</w:t>
      </w:r>
    </w:p>
    <w:p>
      <w:pPr>
        <w:pStyle w:val="ListBullet"/>
      </w:pPr>
      <w:r>
        <w:t>existe uma possível rota de monetização via conteúdo/eventos.</w:t>
      </w:r>
    </w:p>
    <w:p>
      <w:r>
        <w:t>Mas os sinais ainda estão no nível de interesse exploratório.</w:t>
      </w:r>
    </w:p>
    <w:p>
      <w:r>
        <w:t>Algumas afirmações precisam ser tratadas com muito cuidado:</w:t>
      </w:r>
    </w:p>
    <w:p>
      <w:pPr>
        <w:pStyle w:val="Heading3"/>
      </w:pPr>
      <w:r>
        <w:t>“25% de conversão”</w:t>
      </w:r>
    </w:p>
    <w:p>
      <w:r>
        <w:t>O plano deve registrar:</w:t>
      </w:r>
    </w:p>
    <w:p>
      <w:pPr>
        <w:pStyle w:val="ListBullet"/>
      </w:pPr>
      <w:r>
        <w:t>denominador;</w:t>
      </w:r>
    </w:p>
    <w:p>
      <w:pPr>
        <w:pStyle w:val="ListBullet"/>
      </w:pPr>
      <w:r>
        <w:t>número de participantes;</w:t>
      </w:r>
    </w:p>
    <w:p>
      <w:pPr>
        <w:pStyle w:val="ListBullet"/>
      </w:pPr>
      <w:r>
        <w:t>definição de conversão;</w:t>
      </w:r>
    </w:p>
    <w:p>
      <w:pPr>
        <w:pStyle w:val="ListBullet"/>
      </w:pPr>
      <w:r>
        <w:t>período;</w:t>
      </w:r>
    </w:p>
    <w:p>
      <w:pPr>
        <w:pStyle w:val="ListBullet"/>
      </w:pPr>
      <w:r>
        <w:t>fonte primária;</w:t>
      </w:r>
    </w:p>
    <w:p>
      <w:pPr>
        <w:pStyle w:val="ListBullet"/>
      </w:pPr>
      <w:r>
        <w:t>método de coleta;</w:t>
      </w:r>
    </w:p>
    <w:p>
      <w:pPr>
        <w:pStyle w:val="ListBullet"/>
      </w:pPr>
      <w:r>
        <w:t>se houve grupo de comparação;</w:t>
      </w:r>
    </w:p>
    <w:p>
      <w:pPr>
        <w:pStyle w:val="ListBullet"/>
      </w:pPr>
      <w:r>
        <w:t>se a conversão significa reunião, proposta, contrato ou receita.</w:t>
      </w:r>
    </w:p>
    <w:p>
      <w:r>
        <w:t>Sem isso, “25%” é um sinal promissor, não uma métrica de tração.</w:t>
      </w:r>
    </w:p>
    <w:p>
      <w:pPr>
        <w:pStyle w:val="Heading3"/>
      </w:pPr>
      <w:r>
        <w:t>“R$15–30 mil/mês por empresa”</w:t>
      </w:r>
    </w:p>
    <w:p>
      <w:r>
        <w:t>Isso aparece como referência de mercado ou ticket potencial. Não é ainda:</w:t>
      </w:r>
    </w:p>
    <w:p>
      <w:pPr>
        <w:pStyle w:val="ListBullet"/>
      </w:pPr>
      <w:r>
        <w:t>preço aceito;</w:t>
      </w:r>
    </w:p>
    <w:p>
      <w:pPr>
        <w:pStyle w:val="ListBullet"/>
      </w:pPr>
      <w:r>
        <w:t>orçamento confirmado;</w:t>
      </w:r>
    </w:p>
    <w:p>
      <w:pPr>
        <w:pStyle w:val="ListBullet"/>
      </w:pPr>
      <w:r>
        <w:t>disposição a pagar;</w:t>
      </w:r>
    </w:p>
    <w:p>
      <w:pPr>
        <w:pStyle w:val="ListBullet"/>
      </w:pPr>
      <w:r>
        <w:t>ACV validado;</w:t>
      </w:r>
    </w:p>
    <w:p>
      <w:pPr>
        <w:pStyle w:val="ListBullet"/>
      </w:pPr>
      <w:r>
        <w:t>receita recorrente provável.</w:t>
      </w:r>
    </w:p>
    <w:p>
      <w:pPr>
        <w:pStyle w:val="Heading3"/>
      </w:pPr>
      <w:r>
        <w:t>“R$200 mil por instituição”</w:t>
      </w:r>
    </w:p>
    <w:p>
      <w:r>
        <w:t>A própria ata mostra isso como proposta/ideia de cofinanciamento. Não deve entrar no caso base financeiro antes de existir uma rota formal de financiamento.</w:t>
      </w:r>
    </w:p>
    <w:p/>
    <w:p>
      <w:pPr>
        <w:pStyle w:val="Heading1"/>
      </w:pPr>
      <w:r>
        <w:t>5. O plano de projeto tem um problema sério de governança operacional</w:t>
      </w:r>
    </w:p>
    <w:p>
      <w:r>
        <w:t>A matriz indica:</w:t>
      </w:r>
    </w:p>
    <w:p>
      <w:pPr>
        <w:pStyle w:val="ListBullet"/>
      </w:pPr>
      <w:r>
        <w:t>P01: 7 tarefas concluídas;</w:t>
      </w:r>
    </w:p>
    <w:p>
      <w:pPr>
        <w:pStyle w:val="ListBullet"/>
      </w:pPr>
      <w:r>
        <w:t>P02: 6 tarefas concluídas;</w:t>
      </w:r>
    </w:p>
    <w:p>
      <w:pPr>
        <w:pStyle w:val="ListBullet"/>
      </w:pPr>
      <w:r>
        <w:t>P03: 9 tarefas em revisão;</w:t>
      </w:r>
    </w:p>
    <w:p>
      <w:pPr>
        <w:pStyle w:val="ListBullet"/>
      </w:pPr>
      <w:r>
        <w:t>P04–P07: 34 tarefas pendentes.</w:t>
      </w:r>
    </w:p>
    <w:p>
      <w:r>
        <w:t>Isso é coerente com o status individual das tarefas. Porém, há uma distinção importante:</w:t>
      </w:r>
    </w:p>
    <w:p>
      <w:pPr>
        <w:pStyle w:val="IntenseQuote"/>
      </w:pPr>
      <w:r>
        <w:t>Tarefa concluída não significa gate aprovado.</w:t>
      </w:r>
    </w:p>
    <w:p>
      <w:r>
        <w:t>O pacote de aceite P01 confirma isso claramente: os pareceres nominais continuam pendentes e STR-001, STR-002, FIN-002 e GTM-001 permanecem abertos.</w:t>
      </w:r>
    </w:p>
    <w:p>
      <w:r>
        <w:t>Além disso:</w:t>
      </w:r>
    </w:p>
    <w:p>
      <w:pPr>
        <w:pStyle w:val="ListBullet"/>
      </w:pPr>
      <w:r>
        <w:t>existe apenas o template em 00-project-control/decisoes/;</w:t>
      </w:r>
    </w:p>
    <w:p>
      <w:pPr>
        <w:pStyle w:val="ListBullet"/>
      </w:pPr>
      <w:r>
        <w:t>não há decisões formais M00/M01/M02 registradas;</w:t>
      </w:r>
    </w:p>
    <w:p>
      <w:pPr>
        <w:pStyle w:val="ListBullet"/>
      </w:pPr>
      <w:r>
        <w:t>P01/P02 aparecem como concluídas no log, mas os gates continuam não aprovados;</w:t>
      </w:r>
    </w:p>
    <w:p>
      <w:pPr>
        <w:pStyle w:val="ListBullet"/>
      </w:pPr>
      <w:r>
        <w:t>os planos de fase permanecem em blueprint/rascunho;</w:t>
      </w:r>
    </w:p>
    <w:p>
      <w:pPr>
        <w:pStyle w:val="ListBullet"/>
      </w:pPr>
      <w:r>
        <w:t>a maioria dos owners ainda está como “a designar”.</w:t>
      </w:r>
    </w:p>
    <w:p>
      <w:r>
        <w:t>A estrutura de controle está desenhada, mas ainda não está sendo usada como sistema decisório real.</w:t>
      </w:r>
    </w:p>
    <w:p>
      <w:pPr>
        <w:pStyle w:val="Heading2"/>
      </w:pPr>
      <w:r>
        <w:t>Lacuna de ownership</w:t>
      </w:r>
    </w:p>
    <w:p>
      <w:r>
        <w:t>A análise dos arquivos mostra 60 ocorrências de responsáveis “a designar” entre as tarefas.</w:t>
      </w:r>
    </w:p>
    <w:p>
      <w:r>
        <w:t>Isso é um bloqueador real, não uma questão administrativa menor. Sem donos nominais:</w:t>
      </w:r>
    </w:p>
    <w:p>
      <w:pPr>
        <w:pStyle w:val="ListBullet"/>
      </w:pPr>
      <w:r>
        <w:t>os gates não têm autoridade;</w:t>
      </w:r>
    </w:p>
    <w:p>
      <w:pPr>
        <w:pStyle w:val="ListBullet"/>
      </w:pPr>
      <w:r>
        <w:t>as condições não têm quem resolva;</w:t>
      </w:r>
    </w:p>
    <w:p>
      <w:pPr>
        <w:pStyle w:val="ListBullet"/>
      </w:pPr>
      <w:r>
        <w:t>o fundador continua sendo o ponto de coordenação de quase tudo;</w:t>
      </w:r>
    </w:p>
    <w:p>
      <w:pPr>
        <w:pStyle w:val="ListBullet"/>
      </w:pPr>
      <w:r>
        <w:t>a capacidade necessária não está demonstrada;</w:t>
      </w:r>
    </w:p>
    <w:p>
      <w:pPr>
        <w:pStyle w:val="ListBullet"/>
      </w:pPr>
      <w:r>
        <w:t>o cronograma é apenas esforço estimado.</w:t>
      </w:r>
    </w:p>
    <w:p/>
    <w:p>
      <w:pPr>
        <w:pStyle w:val="Heading1"/>
      </w:pPr>
      <w:r>
        <w:t>6. O cronograma não está conectado à oportunidade mais urgente</w:t>
      </w:r>
    </w:p>
    <w:p>
      <w:r>
        <w:t>O plano de fases declara que não tem datas fictícias e usa esforço relativo. Isso é prudente em abstrato.</w:t>
      </w:r>
    </w:p>
    <w:p>
      <w:r>
        <w:t>Mas existe uma oportunidade concreta no calendário: o evento SEBRAE de 28/10.</w:t>
      </w:r>
    </w:p>
    <w:p>
      <w:r>
        <w:t>O cronograma atual não mostra claramente:</w:t>
      </w:r>
    </w:p>
    <w:p>
      <w:pPr>
        <w:pStyle w:val="ListBullet"/>
      </w:pPr>
      <w:r>
        <w:t>quais tarefas precisam estar prontas antes do evento;</w:t>
      </w:r>
    </w:p>
    <w:p>
      <w:pPr>
        <w:pStyle w:val="ListBullet"/>
      </w:pPr>
      <w:r>
        <w:t>qual é o MVP mínimo para esse evento;</w:t>
      </w:r>
    </w:p>
    <w:p>
      <w:pPr>
        <w:pStyle w:val="ListBullet"/>
      </w:pPr>
      <w:r>
        <w:t>quem entrega cada componente;</w:t>
      </w:r>
    </w:p>
    <w:p>
      <w:pPr>
        <w:pStyle w:val="ListBullet"/>
      </w:pPr>
      <w:r>
        <w:t>quando o acordo de dados precisa estar concluído;</w:t>
      </w:r>
    </w:p>
    <w:p>
      <w:pPr>
        <w:pStyle w:val="ListBullet"/>
      </w:pPr>
      <w:r>
        <w:t>quando o instrumento de cooperação precisa ser revisado;</w:t>
      </w:r>
    </w:p>
    <w:p>
      <w:pPr>
        <w:pStyle w:val="ListBullet"/>
      </w:pPr>
      <w:r>
        <w:t>quando a infraestrutura deve estar disponível;</w:t>
      </w:r>
    </w:p>
    <w:p>
      <w:pPr>
        <w:pStyle w:val="ListBullet"/>
      </w:pPr>
      <w:r>
        <w:t>quais métricas serão capturadas no evento;</w:t>
      </w:r>
    </w:p>
    <w:p>
      <w:pPr>
        <w:pStyle w:val="ListBullet"/>
      </w:pPr>
      <w:r>
        <w:t>quando o relatório pós-evento será entregue;</w:t>
      </w:r>
    </w:p>
    <w:p>
      <w:pPr>
        <w:pStyle w:val="ListBullet"/>
      </w:pPr>
      <w:r>
        <w:t>qual decisão será tomada depois.</w:t>
      </w:r>
    </w:p>
    <w:p>
      <w:r>
        <w:t>O projeto precisa de dois cronogramas diferentes:</w:t>
      </w:r>
    </w:p>
    <w:p>
      <w:pPr>
        <w:pStyle w:val="Heading3"/>
      </w:pPr>
      <w:r>
        <w:t>Cronograma estratégico de maturidade</w:t>
      </w:r>
    </w:p>
    <w:p>
      <w:r>
        <w:t>P00 → P07, com gates e dependências.</w:t>
      </w:r>
    </w:p>
    <w:p>
      <w:pPr>
        <w:pStyle w:val="Heading3"/>
      </w:pPr>
      <w:r>
        <w:t>Cronograma operacional do piloto</w:t>
      </w:r>
    </w:p>
    <w:p>
      <w:r>
        <w:t>Preparação → evento → acompanhamento → relatório → decisão de continuidade.</w:t>
      </w:r>
    </w:p>
    <w:p>
      <w:r>
        <w:t>Hoje o primeiro existe parcialmente; o segundo ainda não está suficientemente operacionalizado.</w:t>
      </w:r>
    </w:p>
    <w:p/>
    <w:p>
      <w:pPr>
        <w:pStyle w:val="Heading1"/>
      </w:pPr>
      <w:r>
        <w:t>7. O P03 está tecnicamente correto, mas provavelmente grande demais para o primeiro piloto</w:t>
      </w:r>
    </w:p>
    <w:p>
      <w:r>
        <w:t>O plano pede, entre outras coisas:</w:t>
      </w:r>
    </w:p>
    <w:p>
      <w:pPr>
        <w:pStyle w:val="ListBullet"/>
      </w:pPr>
      <w:r>
        <w:t>25 entidades;</w:t>
      </w:r>
    </w:p>
    <w:p>
      <w:pPr>
        <w:pStyle w:val="ListBullet"/>
      </w:pPr>
      <w:r>
        <w:t>matching e survivorship;</w:t>
      </w:r>
    </w:p>
    <w:p>
      <w:pPr>
        <w:pStyle w:val="ListBullet"/>
      </w:pPr>
      <w:r>
        <w:t>envelope de eventos;</w:t>
      </w:r>
    </w:p>
    <w:p>
      <w:pPr>
        <w:pStyle w:val="ListBullet"/>
      </w:pPr>
      <w:r>
        <w:t>schema registry;</w:t>
      </w:r>
    </w:p>
    <w:p>
      <w:pPr>
        <w:pStyle w:val="ListBullet"/>
      </w:pPr>
      <w:r>
        <w:t>linhagem ponta a ponta;</w:t>
      </w:r>
    </w:p>
    <w:p>
      <w:pPr>
        <w:pStyle w:val="ListBullet"/>
      </w:pPr>
      <w:r>
        <w:t>73 indicadores;</w:t>
      </w:r>
    </w:p>
    <w:p>
      <w:pPr>
        <w:pStyle w:val="ListBullet"/>
      </w:pPr>
      <w:r>
        <w:t>taxonomia de valor;</w:t>
      </w:r>
    </w:p>
    <w:p>
      <w:pPr>
        <w:pStyle w:val="ListBullet"/>
      </w:pPr>
      <w:r>
        <w:t>DSAR;</w:t>
      </w:r>
    </w:p>
    <w:p>
      <w:pPr>
        <w:pStyle w:val="ListBullet"/>
      </w:pPr>
      <w:r>
        <w:t>replay;</w:t>
      </w:r>
    </w:p>
    <w:p>
      <w:pPr>
        <w:pStyle w:val="ListBullet"/>
      </w:pPr>
      <w:r>
        <w:t>reconstrução de XLSX;</w:t>
      </w:r>
    </w:p>
    <w:p>
      <w:pPr>
        <w:pStyle w:val="ListBullet"/>
      </w:pPr>
      <w:r>
        <w:t>41 campos físicos;</w:t>
      </w:r>
    </w:p>
    <w:p>
      <w:pPr>
        <w:pStyle w:val="ListBullet"/>
      </w:pPr>
      <w:r>
        <w:t>reconciliação de múltiplas fontes.</w:t>
      </w:r>
    </w:p>
    <w:p>
      <w:r>
        <w:t>Para a plataforma completa, isso pode fazer sentido.</w:t>
      </w:r>
    </w:p>
    <w:p>
      <w:r>
        <w:t>Para validar o piloto de fornecedores do evento, provavelmente é mais do que o necessário.</w:t>
      </w:r>
    </w:p>
    <w:p>
      <w:r>
        <w:t>A primeira versão poderia precisar apenas de:</w:t>
      </w:r>
    </w:p>
    <w:p>
      <w:pPr>
        <w:pStyle w:val="ListBullet"/>
      </w:pPr>
      <w:r>
        <w:t>fornecedor;</w:t>
      </w:r>
    </w:p>
    <w:p>
      <w:pPr>
        <w:pStyle w:val="ListBullet"/>
      </w:pPr>
      <w:r>
        <w:t>comprador;</w:t>
      </w:r>
    </w:p>
    <w:p>
      <w:pPr>
        <w:pStyle w:val="ListBullet"/>
      </w:pPr>
      <w:r>
        <w:t>oportunidade;</w:t>
      </w:r>
    </w:p>
    <w:p>
      <w:pPr>
        <w:pStyle w:val="ListBullet"/>
      </w:pPr>
      <w:r>
        <w:t>inscrição;</w:t>
      </w:r>
    </w:p>
    <w:p>
      <w:pPr>
        <w:pStyle w:val="ListBullet"/>
      </w:pPr>
      <w:r>
        <w:t>diagnóstico mínimo;</w:t>
      </w:r>
    </w:p>
    <w:p>
      <w:pPr>
        <w:pStyle w:val="ListBullet"/>
      </w:pPr>
      <w:r>
        <w:t>match;</w:t>
      </w:r>
    </w:p>
    <w:p>
      <w:pPr>
        <w:pStyle w:val="ListBullet"/>
      </w:pPr>
      <w:r>
        <w:t>reunião;</w:t>
      </w:r>
    </w:p>
    <w:p>
      <w:pPr>
        <w:pStyle w:val="ListBullet"/>
      </w:pPr>
      <w:r>
        <w:t>proposta;</w:t>
      </w:r>
    </w:p>
    <w:p>
      <w:pPr>
        <w:pStyle w:val="ListBullet"/>
      </w:pPr>
      <w:r>
        <w:t>contrato;</w:t>
      </w:r>
    </w:p>
    <w:p>
      <w:pPr>
        <w:pStyle w:val="ListBullet"/>
      </w:pPr>
      <w:r>
        <w:t>receita/economia reportada;</w:t>
      </w:r>
    </w:p>
    <w:p>
      <w:pPr>
        <w:pStyle w:val="ListBullet"/>
      </w:pPr>
      <w:r>
        <w:t>consentimento;</w:t>
      </w:r>
    </w:p>
    <w:p>
      <w:pPr>
        <w:pStyle w:val="ListBullet"/>
      </w:pPr>
      <w:r>
        <w:t>histórico de alterações;</w:t>
      </w:r>
    </w:p>
    <w:p>
      <w:pPr>
        <w:pStyle w:val="ListBullet"/>
      </w:pPr>
      <w:r>
        <w:t>responsável operacional.</w:t>
      </w:r>
    </w:p>
    <w:p>
      <w:r>
        <w:t>O próprio plano diz que pretende priorizar métricas ligadas às ofertas de lançamento, mas o gate ainda mantém um catálogo de 73 indicadores como critério de saída. Isso pode criar paralisia.</w:t>
      </w:r>
    </w:p>
    <w:p>
      <w:pPr>
        <w:pStyle w:val="Heading3"/>
      </w:pPr>
      <w:r>
        <w:t>Recomendação</w:t>
      </w:r>
    </w:p>
    <w:p>
      <w:r>
        <w:t>Separar explicitamente:</w:t>
      </w:r>
    </w:p>
    <w:p>
      <w:pPr>
        <w:pStyle w:val="ListBullet"/>
      </w:pPr>
      <w:r>
        <w:t>spine mínimo do piloto;</w:t>
      </w:r>
    </w:p>
    <w:p>
      <w:pPr>
        <w:pStyle w:val="ListBullet"/>
      </w:pPr>
      <w:r>
        <w:t>spine completo da plataforma.</w:t>
      </w:r>
    </w:p>
    <w:p>
      <w:r>
        <w:t>O primeiro deve ser suficiente para operar, medir e aprender. O segundo só deve avançar depois que o piloto demonstrar valor.</w:t>
      </w:r>
    </w:p>
    <w:p/>
    <w:p>
      <w:pPr>
        <w:pStyle w:val="Heading1"/>
      </w:pPr>
      <w:r>
        <w:t>8. O plano jurídico e de segurança está correto, mas precisa ser proporcional</w:t>
      </w:r>
    </w:p>
    <w:p>
      <w:r>
        <w:t>LGPD, consentimento, tenancy, auditoria, retenção, DSAR e responsabilidade são riscos materiais. Não devem ser ignorados.</w:t>
      </w:r>
    </w:p>
    <w:p>
      <w:r>
        <w:t>Mas existe uma diferença entre:</w:t>
      </w:r>
    </w:p>
    <w:p>
      <w:pPr>
        <w:pStyle w:val="ListBullet"/>
      </w:pPr>
      <w:r>
        <w:t>controles mínimos necessários para um piloto com dados reais;</w:t>
      </w:r>
    </w:p>
    <w:p>
      <w:pPr>
        <w:pStyle w:val="ListBullet"/>
      </w:pPr>
      <w:r>
        <w:t>arquitetura jurídica e tecnológica completa para escala multi-tenant.</w:t>
      </w:r>
    </w:p>
    <w:p>
      <w:r>
        <w:t>Para o piloto, o mínimo deveria definir claramente:</w:t>
      </w:r>
    </w:p>
    <w:p>
      <w:pPr>
        <w:pStyle w:val="ListBullet"/>
      </w:pPr>
      <w:r>
        <w:t>finalidade do uso dos dados;</w:t>
      </w:r>
    </w:p>
    <w:p>
      <w:pPr>
        <w:pStyle w:val="ListBullet"/>
      </w:pPr>
      <w:r>
        <w:t>controlador e operador;</w:t>
      </w:r>
    </w:p>
    <w:p>
      <w:pPr>
        <w:pStyle w:val="ListBullet"/>
      </w:pPr>
      <w:r>
        <w:t>campos necessários;</w:t>
      </w:r>
    </w:p>
    <w:p>
      <w:pPr>
        <w:pStyle w:val="ListBullet"/>
      </w:pPr>
      <w:r>
        <w:t>consentimento ou outra base legal;</w:t>
      </w:r>
    </w:p>
    <w:p>
      <w:pPr>
        <w:pStyle w:val="ListBullet"/>
      </w:pPr>
      <w:r>
        <w:t>acesso por papel;</w:t>
      </w:r>
    </w:p>
    <w:p>
      <w:pPr>
        <w:pStyle w:val="ListBullet"/>
      </w:pPr>
      <w:r>
        <w:t>retenção;</w:t>
      </w:r>
    </w:p>
    <w:p>
      <w:pPr>
        <w:pStyle w:val="ListBullet"/>
      </w:pPr>
      <w:r>
        <w:t>exportação e exclusão;</w:t>
      </w:r>
    </w:p>
    <w:p>
      <w:pPr>
        <w:pStyle w:val="ListBullet"/>
      </w:pPr>
      <w:r>
        <w:t>acordo entre as partes;</w:t>
      </w:r>
    </w:p>
    <w:p>
      <w:pPr>
        <w:pStyle w:val="ListBullet"/>
      </w:pPr>
      <w:r>
        <w:t>incidentes e responsabilidades;</w:t>
      </w:r>
    </w:p>
    <w:p>
      <w:pPr>
        <w:pStyle w:val="ListBullet"/>
      </w:pPr>
      <w:r>
        <w:t>quem pode ver dados de compradores e fornecedores.</w:t>
      </w:r>
    </w:p>
    <w:p>
      <w:r>
        <w:t>Não é necessário resolver toda a arquitetura futura de entidades, selo, white-label e expansão internacional antes de provar o primeiro fluxo.</w:t>
      </w:r>
    </w:p>
    <w:p>
      <w:r>
        <w:t>O risco atual é o oposto do risco habitual: não parece haver negligência de governança; parece haver governança demais antes de uma transação validada.</w:t>
      </w:r>
    </w:p>
    <w:p/>
    <w:p>
      <w:pPr>
        <w:pStyle w:val="Heading1"/>
      </w:pPr>
      <w:r>
        <w:t>9. O modelo de negócio ainda é uma hipótese de serviços, não uma empresa SaaS</w:t>
      </w:r>
    </w:p>
    <w:p>
      <w:r>
        <w:t>A sequência proposta:</w:t>
      </w:r>
    </w:p>
    <w:p>
      <w:pPr>
        <w:pStyle w:val="IntenseQuote"/>
      </w:pPr>
      <w:r>
        <w:t>piloto liderado por implementação → programa repetível → licença anual de ecossistema</w:t>
      </w:r>
    </w:p>
    <w:p>
      <w:r>
        <w:t>é plausível, mas ainda não comprovada.</w:t>
      </w:r>
    </w:p>
    <w:p>
      <w:r>
        <w:t>Neste momento, o modelo mais realista é:</w:t>
      </w:r>
    </w:p>
    <w:p>
      <w:pPr>
        <w:pStyle w:val="IntenseQuote"/>
      </w:pPr>
      <w:r>
        <w:t>serviço de implementação e mensuração apoiado por software, com possibilidade futura de produto recorrente.</w:t>
      </w:r>
    </w:p>
    <w:p>
      <w:r>
        <w:t>Isso não é uma crítica negativa. É a forma correta de enquadrar o estágio atual.</w:t>
      </w:r>
    </w:p>
    <w:p>
      <w:r>
        <w:t>Ainda não há evidência de que:</w:t>
      </w:r>
    </w:p>
    <w:p>
      <w:pPr>
        <w:pStyle w:val="ListBullet"/>
      </w:pPr>
      <w:r>
        <w:t>o cliente queira comprar licença separadamente;</w:t>
      </w:r>
    </w:p>
    <w:p>
      <w:pPr>
        <w:pStyle w:val="ListBullet"/>
      </w:pPr>
      <w:r>
        <w:t>o trabalho humano não cresça proporcionalmente;</w:t>
      </w:r>
    </w:p>
    <w:p>
      <w:pPr>
        <w:pStyle w:val="ListBullet"/>
      </w:pPr>
      <w:r>
        <w:t>o software seja reutilizável entre organizações;</w:t>
      </w:r>
    </w:p>
    <w:p>
      <w:pPr>
        <w:pStyle w:val="ListBullet"/>
      </w:pPr>
      <w:r>
        <w:t>a implantação possa ser padronizada;</w:t>
      </w:r>
    </w:p>
    <w:p>
      <w:pPr>
        <w:pStyle w:val="ListBullet"/>
      </w:pPr>
      <w:r>
        <w:t>o comprador renove depois do evento;</w:t>
      </w:r>
    </w:p>
    <w:p>
      <w:pPr>
        <w:pStyle w:val="ListBullet"/>
      </w:pPr>
      <w:r>
        <w:t>a margem seja suficiente;</w:t>
      </w:r>
    </w:p>
    <w:p>
      <w:pPr>
        <w:pStyle w:val="ListBullet"/>
      </w:pPr>
      <w:r>
        <w:t>a implementação não dependa fortemente de Tamara, Marcos ou PF Rezende.</w:t>
      </w:r>
    </w:p>
    <w:p>
      <w:r>
        <w:t>A estratégia deveria evitar apresentar “licença anual de ecossistema” como destino provável. Por enquanto, deve ser tratada como hipótese de expansão condicionada.</w:t>
      </w:r>
    </w:p>
    <w:p/>
    <w:p>
      <w:pPr>
        <w:pStyle w:val="Heading1"/>
      </w:pPr>
      <w:r>
        <w:t>10. Avaliação das quatro frentes/unidades</w:t>
      </w:r>
    </w:p>
    <w:p>
      <w:r>
        <w:t>A arquitetura com:</w:t>
      </w:r>
    </w:p>
    <w:p>
      <w:pPr>
        <w:pStyle w:val="ListBullet"/>
      </w:pPr>
      <w:r>
        <w:t>marca/estratégia;</w:t>
      </w:r>
    </w:p>
    <w:p>
      <w:pPr>
        <w:pStyle w:val="ListBullet"/>
      </w:pPr>
      <w:r>
        <w:t>HUB Negócios;</w:t>
      </w:r>
    </w:p>
    <w:p>
      <w:pPr>
        <w:pStyle w:val="ListBullet"/>
      </w:pPr>
      <w:r>
        <w:t>Instituto HUB;</w:t>
      </w:r>
    </w:p>
    <w:p>
      <w:pPr>
        <w:pStyle w:val="ListBullet"/>
      </w:pPr>
      <w:r>
        <w:t>Plataforma HUB;</w:t>
      </w:r>
    </w:p>
    <w:p>
      <w:r>
        <w:t>é conceitualmente organizada, mas aumenta muito a complexidade jurídica, contábil e operacional.</w:t>
      </w:r>
    </w:p>
    <w:p>
      <w:r>
        <w:t>Para o primeiro piloto, quatro unidades podem ser excessivas. Antes de criar estruturas formais, é necessário responder:</w:t>
      </w:r>
    </w:p>
    <w:p>
      <w:pPr>
        <w:pStyle w:val="ListBullet"/>
      </w:pPr>
      <w:r>
        <w:t>qual entidade assina;</w:t>
      </w:r>
    </w:p>
    <w:p>
      <w:pPr>
        <w:pStyle w:val="ListBullet"/>
      </w:pPr>
      <w:r>
        <w:t>qual entidade fatura;</w:t>
      </w:r>
    </w:p>
    <w:p>
      <w:pPr>
        <w:pStyle w:val="ListBullet"/>
      </w:pPr>
      <w:r>
        <w:t>qual entidade entrega;</w:t>
      </w:r>
    </w:p>
    <w:p>
      <w:pPr>
        <w:pStyle w:val="ListBullet"/>
      </w:pPr>
      <w:r>
        <w:t>qual entidade recebe dados;</w:t>
      </w:r>
    </w:p>
    <w:p>
      <w:pPr>
        <w:pStyle w:val="ListBullet"/>
      </w:pPr>
      <w:r>
        <w:t>quem assume responsabilidade;</w:t>
      </w:r>
    </w:p>
    <w:p>
      <w:pPr>
        <w:pStyle w:val="ListBullet"/>
      </w:pPr>
      <w:r>
        <w:t>como o trabalho é rateado;</w:t>
      </w:r>
    </w:p>
    <w:p>
      <w:pPr>
        <w:pStyle w:val="ListBullet"/>
      </w:pPr>
      <w:r>
        <w:t>que propriedade intelectual pertence a quem;</w:t>
      </w:r>
    </w:p>
    <w:p>
      <w:pPr>
        <w:pStyle w:val="ListBullet"/>
      </w:pPr>
      <w:r>
        <w:t>como funding restrito fica separado;</w:t>
      </w:r>
    </w:p>
    <w:p>
      <w:pPr>
        <w:pStyle w:val="ListBullet"/>
      </w:pPr>
      <w:r>
        <w:t>qual estrutura é necessária agora e qual pode esperar.</w:t>
      </w:r>
    </w:p>
    <w:p>
      <w:r>
        <w:t>A separação entre comercial e impacto é correta. Porém, uma separação organizacional completa deve ser consequência de uma necessidade real, não apenas de uma visão futura.</w:t>
      </w:r>
    </w:p>
    <w:p/>
    <w:p>
      <w:pPr>
        <w:pStyle w:val="Heading1"/>
      </w:pPr>
      <w:r>
        <w:t>11. Os maiores riscos de fracasso</w:t>
      </w:r>
    </w:p>
    <w:p>
      <w:pPr>
        <w:pStyle w:val="Heading2"/>
      </w:pPr>
      <w:r>
        <w:t>Risco 1 — Construir antes de vender</w:t>
      </w:r>
    </w:p>
    <w:p>
      <w:r>
        <w:t xml:space="preserve">Probabilidade: alta.  </w:t>
      </w:r>
    </w:p>
    <w:p>
      <w:r>
        <w:t>Impacto: muito alto.</w:t>
      </w:r>
    </w:p>
    <w:p>
      <w:r>
        <w:t>O time pode concluir P03–P05 e ainda não saber:</w:t>
      </w:r>
    </w:p>
    <w:p>
      <w:pPr>
        <w:pStyle w:val="ListBullet"/>
      </w:pPr>
      <w:r>
        <w:t>quem compra;</w:t>
      </w:r>
    </w:p>
    <w:p>
      <w:pPr>
        <w:pStyle w:val="ListBullet"/>
      </w:pPr>
      <w:r>
        <w:t>quanto paga;</w:t>
      </w:r>
    </w:p>
    <w:p>
      <w:pPr>
        <w:pStyle w:val="ListBullet"/>
      </w:pPr>
      <w:r>
        <w:t>qual resultado valoriza;</w:t>
      </w:r>
    </w:p>
    <w:p>
      <w:pPr>
        <w:pStyle w:val="ListBullet"/>
      </w:pPr>
      <w:r>
        <w:t>qual parte do fluxo deve ser produto;</w:t>
      </w:r>
    </w:p>
    <w:p>
      <w:pPr>
        <w:pStyle w:val="ListBullet"/>
      </w:pPr>
      <w:r>
        <w:t>qual trabalho continuará manual.</w:t>
      </w:r>
    </w:p>
    <w:p>
      <w:pPr>
        <w:pStyle w:val="Heading2"/>
      </w:pPr>
      <w:r>
        <w:t>Risco 2 — Confundir acesso institucional com demanda comercial</w:t>
      </w:r>
    </w:p>
    <w:p>
      <w:r>
        <w:t xml:space="preserve">Probabilidade: alta.  </w:t>
      </w:r>
    </w:p>
    <w:p>
      <w:r>
        <w:t>Impacto: alto.</w:t>
      </w:r>
    </w:p>
    <w:p>
      <w:r>
        <w:t>SEBRAE, Speed e Cubo podem oferecer acesso, validação e conexões sem se tornarem compradores do software.</w:t>
      </w:r>
    </w:p>
    <w:p>
      <w:pPr>
        <w:pStyle w:val="Heading2"/>
      </w:pPr>
      <w:r>
        <w:t>Risco 3 — O evento gerar networking, mas não evidência de negócio</w:t>
      </w:r>
    </w:p>
    <w:p>
      <w:r>
        <w:t xml:space="preserve">Probabilidade: média/alta.  </w:t>
      </w:r>
    </w:p>
    <w:p>
      <w:r>
        <w:t>Impacto: alto.</w:t>
      </w:r>
    </w:p>
    <w:p>
      <w:r>
        <w:t>O evento pode ser bem avaliado e ainda assim não produzir:</w:t>
      </w:r>
    </w:p>
    <w:p>
      <w:pPr>
        <w:pStyle w:val="ListBullet"/>
      </w:pPr>
      <w:r>
        <w:t>reuniões qualificadas;</w:t>
      </w:r>
    </w:p>
    <w:p>
      <w:pPr>
        <w:pStyle w:val="ListBullet"/>
      </w:pPr>
      <w:r>
        <w:t>propostas;</w:t>
      </w:r>
    </w:p>
    <w:p>
      <w:pPr>
        <w:pStyle w:val="ListBullet"/>
      </w:pPr>
      <w:r>
        <w:t>contratos;</w:t>
      </w:r>
    </w:p>
    <w:p>
      <w:pPr>
        <w:pStyle w:val="ListBullet"/>
      </w:pPr>
      <w:r>
        <w:t>receita;</w:t>
      </w:r>
    </w:p>
    <w:p>
      <w:pPr>
        <w:pStyle w:val="ListBullet"/>
      </w:pPr>
      <w:r>
        <w:t>economia mensurável;</w:t>
      </w:r>
    </w:p>
    <w:p>
      <w:pPr>
        <w:pStyle w:val="ListBullet"/>
      </w:pPr>
      <w:r>
        <w:t>renovação.</w:t>
      </w:r>
    </w:p>
    <w:p>
      <w:r>
        <w:t>Por isso, o desenho de medição pós-evento é tão importante quanto a logística.</w:t>
      </w:r>
    </w:p>
    <w:p>
      <w:pPr>
        <w:pStyle w:val="Heading2"/>
      </w:pPr>
      <w:r>
        <w:t>Risco 4 — Dependência excessiva do fundador</w:t>
      </w:r>
    </w:p>
    <w:p>
      <w:r>
        <w:t xml:space="preserve">Probabilidade: alta.  </w:t>
      </w:r>
    </w:p>
    <w:p>
      <w:r>
        <w:t>Impacto: alto.</w:t>
      </w:r>
    </w:p>
    <w:p>
      <w:r>
        <w:t>Os planos mencionam delegação, mas os owners reais ainda não estão nomeados. O sistema depende do fundador para estratégia, coordenação, aceite e várias decisões críticas.</w:t>
      </w:r>
    </w:p>
    <w:p>
      <w:pPr>
        <w:pStyle w:val="Heading2"/>
      </w:pPr>
      <w:r>
        <w:t>Risco 5 — A tese mudar sem atualização do documento canônico</w:t>
      </w:r>
    </w:p>
    <w:p>
      <w:r>
        <w:t xml:space="preserve">Probabilidade: alta.  </w:t>
      </w:r>
    </w:p>
    <w:p>
      <w:r>
        <w:t>Impacto: médio/alto.</w:t>
      </w:r>
    </w:p>
    <w:p>
      <w:r>
        <w:t>A oportunidade SEBRAE já parece estar deslocando o foco de “Candidata A” para “fornecedores em evento institucional”. Se isso não for reconciliado, os documentos passam a descrever negócios diferentes.</w:t>
      </w:r>
    </w:p>
    <w:p>
      <w:pPr>
        <w:pStyle w:val="Heading2"/>
      </w:pPr>
      <w:r>
        <w:t>Risco 6 — Métricas sofisticadas criarem falsa sensação de prova</w:t>
      </w:r>
    </w:p>
    <w:p>
      <w:r>
        <w:t xml:space="preserve">Probabilidade: alta.  </w:t>
      </w:r>
    </w:p>
    <w:p>
      <w:r>
        <w:t>Impacto: alto.</w:t>
      </w:r>
    </w:p>
    <w:p>
      <w:r>
        <w:t>Um XLSX reconstruído, uma linhagem reproduzível ou um ROI calculado podem estar tecnicamente corretos e ainda assim não provar:</w:t>
      </w:r>
    </w:p>
    <w:p>
      <w:pPr>
        <w:pStyle w:val="ListBullet"/>
      </w:pPr>
      <w:r>
        <w:t>causalidade;</w:t>
      </w:r>
    </w:p>
    <w:p>
      <w:pPr>
        <w:pStyle w:val="ListBullet"/>
      </w:pPr>
      <w:r>
        <w:t>disposição a pagar;</w:t>
      </w:r>
    </w:p>
    <w:p>
      <w:pPr>
        <w:pStyle w:val="ListBullet"/>
      </w:pPr>
      <w:r>
        <w:t>repetibilidade;</w:t>
      </w:r>
    </w:p>
    <w:p>
      <w:pPr>
        <w:pStyle w:val="ListBullet"/>
      </w:pPr>
      <w:r>
        <w:t>valor comercial;</w:t>
      </w:r>
    </w:p>
    <w:p>
      <w:pPr>
        <w:pStyle w:val="ListBullet"/>
      </w:pPr>
      <w:r>
        <w:t>escala.</w:t>
      </w:r>
    </w:p>
    <w:p/>
    <w:p>
      <w:pPr>
        <w:pStyle w:val="Heading1"/>
      </w:pPr>
      <w:r>
        <w:t>12. Minha recomendação prática</w:t>
      </w:r>
    </w:p>
    <w:p>
      <w:pPr>
        <w:pStyle w:val="Heading2"/>
      </w:pPr>
      <w:r>
        <w:t>Prioridade 1 — Criar um charter único do piloto</w:t>
      </w:r>
    </w:p>
    <w:p>
      <w:r>
        <w:t>O piloto deve ter uma única página com:</w:t>
      </w:r>
    </w:p>
    <w:p>
      <w:pPr>
        <w:pStyle w:val="ListBullet"/>
      </w:pPr>
      <w:r>
        <w:t>comprador ou patrocinador;</w:t>
      </w:r>
    </w:p>
    <w:p>
      <w:pPr>
        <w:pStyle w:val="ListBullet"/>
      </w:pPr>
      <w:r>
        <w:t>entidade que participa;</w:t>
      </w:r>
    </w:p>
    <w:p>
      <w:pPr>
        <w:pStyle w:val="ListBullet"/>
      </w:pPr>
      <w:r>
        <w:t>oportunidade específica;</w:t>
      </w:r>
    </w:p>
    <w:p>
      <w:pPr>
        <w:pStyle w:val="ListBullet"/>
      </w:pPr>
      <w:r>
        <w:t>coorte;</w:t>
      </w:r>
    </w:p>
    <w:p>
      <w:pPr>
        <w:pStyle w:val="ListBullet"/>
      </w:pPr>
      <w:r>
        <w:t>problema testado;</w:t>
      </w:r>
    </w:p>
    <w:p>
      <w:pPr>
        <w:pStyle w:val="ListBullet"/>
      </w:pPr>
      <w:r>
        <w:t>escopo;</w:t>
      </w:r>
    </w:p>
    <w:p>
      <w:pPr>
        <w:pStyle w:val="ListBullet"/>
      </w:pPr>
      <w:r>
        <w:t>dados usados;</w:t>
      </w:r>
    </w:p>
    <w:p>
      <w:pPr>
        <w:pStyle w:val="ListBullet"/>
      </w:pPr>
      <w:r>
        <w:t>base legal;</w:t>
      </w:r>
    </w:p>
    <w:p>
      <w:pPr>
        <w:pStyle w:val="ListBullet"/>
      </w:pPr>
      <w:r>
        <w:t>métricas;</w:t>
      </w:r>
    </w:p>
    <w:p>
      <w:pPr>
        <w:pStyle w:val="ListBullet"/>
      </w:pPr>
      <w:r>
        <w:t>orçamento;</w:t>
      </w:r>
    </w:p>
    <w:p>
      <w:pPr>
        <w:pStyle w:val="ListBullet"/>
      </w:pPr>
      <w:r>
        <w:t>custos;</w:t>
      </w:r>
    </w:p>
    <w:p>
      <w:pPr>
        <w:pStyle w:val="ListBullet"/>
      </w:pPr>
      <w:r>
        <w:t>responsáveis;</w:t>
      </w:r>
    </w:p>
    <w:p>
      <w:pPr>
        <w:pStyle w:val="ListBullet"/>
      </w:pPr>
      <w:r>
        <w:t>datas;</w:t>
      </w:r>
    </w:p>
    <w:p>
      <w:pPr>
        <w:pStyle w:val="ListBullet"/>
      </w:pPr>
      <w:r>
        <w:t>definição de sucesso;</w:t>
      </w:r>
    </w:p>
    <w:p>
      <w:pPr>
        <w:pStyle w:val="ListBullet"/>
      </w:pPr>
      <w:r>
        <w:t>definição de fracasso;</w:t>
      </w:r>
    </w:p>
    <w:p>
      <w:pPr>
        <w:pStyle w:val="ListBullet"/>
      </w:pPr>
      <w:r>
        <w:t>decisão pós-piloto.</w:t>
      </w:r>
    </w:p>
    <w:p>
      <w:r>
        <w:t>Sem isso, o evento e a plataforma continuarão sendo duas iniciativas parcialmente sobrepostas.</w:t>
      </w:r>
    </w:p>
    <w:p>
      <w:pPr>
        <w:pStyle w:val="Heading2"/>
      </w:pPr>
      <w:r>
        <w:t>Prioridade 2 — Reconciliar a tese do Documento-Mãe</w:t>
      </w:r>
    </w:p>
    <w:p>
      <w:r>
        <w:t>Registrar formalmente se o evento SEBRAE é:</w:t>
      </w:r>
    </w:p>
    <w:p>
      <w:pPr>
        <w:pStyle w:val="ListBullet"/>
      </w:pPr>
      <w:r>
        <w:t>piloto comercial;</w:t>
      </w:r>
    </w:p>
    <w:p>
      <w:pPr>
        <w:pStyle w:val="ListBullet"/>
      </w:pPr>
      <w:r>
        <w:t>piloto cofinanciado;</w:t>
      </w:r>
    </w:p>
    <w:p>
      <w:pPr>
        <w:pStyle w:val="ListBullet"/>
      </w:pPr>
      <w:r>
        <w:t>piloto de validação sem receita de software;</w:t>
      </w:r>
    </w:p>
    <w:p>
      <w:pPr>
        <w:pStyle w:val="ListBullet"/>
      </w:pPr>
      <w:r>
        <w:t>canal de aquisição;</w:t>
      </w:r>
    </w:p>
    <w:p>
      <w:pPr>
        <w:pStyle w:val="ListBullet"/>
      </w:pPr>
      <w:r>
        <w:t>caso de referência;</w:t>
      </w:r>
    </w:p>
    <w:p>
      <w:pPr>
        <w:pStyle w:val="ListBullet"/>
      </w:pPr>
      <w:r>
        <w:t>ou apenas experimento de dados.</w:t>
      </w:r>
    </w:p>
    <w:p>
      <w:r>
        <w:t>Não usar a expressão “piloto pago” se a contrapartida for apenas dados, validação ou cooperação técnica.</w:t>
      </w:r>
    </w:p>
    <w:p>
      <w:pPr>
        <w:pStyle w:val="Heading2"/>
      </w:pPr>
      <w:r>
        <w:t>Prioridade 3 — Reduzir o MVP ao fluxo de conversão</w:t>
      </w:r>
    </w:p>
    <w:p>
      <w:r>
        <w:t>Para a primeira validação, medir somente:</w:t>
      </w:r>
    </w:p>
    <w:p>
      <w:pPr>
        <w:pStyle w:val="ListNumber"/>
      </w:pPr>
      <w:r>
        <w:t>fornecedor inscrito;</w:t>
      </w:r>
    </w:p>
    <w:p>
      <w:pPr>
        <w:pStyle w:val="ListNumber"/>
      </w:pPr>
      <w:r>
        <w:t>fornecedor qualificado;</w:t>
      </w:r>
    </w:p>
    <w:p>
      <w:pPr>
        <w:pStyle w:val="ListNumber"/>
      </w:pPr>
      <w:r>
        <w:t>match realizado;</w:t>
      </w:r>
    </w:p>
    <w:p>
      <w:pPr>
        <w:pStyle w:val="ListNumber"/>
      </w:pPr>
      <w:r>
        <w:t>reunião;</w:t>
      </w:r>
    </w:p>
    <w:p>
      <w:pPr>
        <w:pStyle w:val="ListNumber"/>
      </w:pPr>
      <w:r>
        <w:t>proposta;</w:t>
      </w:r>
    </w:p>
    <w:p>
      <w:pPr>
        <w:pStyle w:val="ListNumber"/>
      </w:pPr>
      <w:r>
        <w:t>contrato;</w:t>
      </w:r>
    </w:p>
    <w:p>
      <w:pPr>
        <w:pStyle w:val="ListNumber"/>
      </w:pPr>
      <w:r>
        <w:t>receita ou economia reportada;</w:t>
      </w:r>
    </w:p>
    <w:p>
      <w:pPr>
        <w:pStyle w:val="ListNumber"/>
      </w:pPr>
      <w:r>
        <w:t>esforço operacional;</w:t>
      </w:r>
    </w:p>
    <w:p>
      <w:pPr>
        <w:pStyle w:val="ListNumber"/>
      </w:pPr>
      <w:r>
        <w:t>satisfação de fornecedor e comprador;</w:t>
      </w:r>
    </w:p>
    <w:p>
      <w:pPr>
        <w:pStyle w:val="ListNumber"/>
      </w:pPr>
      <w:r>
        <w:t>intenção de repetir.</w:t>
      </w:r>
    </w:p>
    <w:p>
      <w:r>
        <w:t>O restante pode continuar como arquitetura futura.</w:t>
      </w:r>
    </w:p>
    <w:p>
      <w:pPr>
        <w:pStyle w:val="Heading2"/>
      </w:pPr>
      <w:r>
        <w:t>Prioridade 4 — Nomear owners antes de abrir P04–P07</w:t>
      </w:r>
    </w:p>
    <w:p>
      <w:r>
        <w:t>Nenhuma nova fase deveria ser considerada operacionalmente aberta enquanto não houver:</w:t>
      </w:r>
    </w:p>
    <w:p>
      <w:pPr>
        <w:pStyle w:val="ListBullet"/>
      </w:pPr>
      <w:r>
        <w:t>accountable nominal;</w:t>
      </w:r>
    </w:p>
    <w:p>
      <w:pPr>
        <w:pStyle w:val="ListBullet"/>
      </w:pPr>
      <w:r>
        <w:t>responsável executante;</w:t>
      </w:r>
    </w:p>
    <w:p>
      <w:pPr>
        <w:pStyle w:val="ListBullet"/>
      </w:pPr>
      <w:r>
        <w:t>consultor;</w:t>
      </w:r>
    </w:p>
    <w:p>
      <w:pPr>
        <w:pStyle w:val="ListBullet"/>
      </w:pPr>
      <w:r>
        <w:t>prazo;</w:t>
      </w:r>
    </w:p>
    <w:p>
      <w:pPr>
        <w:pStyle w:val="ListBullet"/>
      </w:pPr>
      <w:r>
        <w:t>evidência esperada;</w:t>
      </w:r>
    </w:p>
    <w:p>
      <w:pPr>
        <w:pStyle w:val="ListBullet"/>
      </w:pPr>
      <w:r>
        <w:t>decisão de gate.</w:t>
      </w:r>
    </w:p>
    <w:p>
      <w:pPr>
        <w:pStyle w:val="Heading2"/>
      </w:pPr>
      <w:r>
        <w:t>Prioridade 5 — Medir economia unitária real</w:t>
      </w:r>
    </w:p>
    <w:p>
      <w:r>
        <w:t>Depois do primeiro piloto, calcular:</w:t>
      </w:r>
    </w:p>
    <w:p>
      <w:pPr>
        <w:pStyle w:val="ListBullet"/>
      </w:pPr>
      <w:r>
        <w:t>horas por fornecedor;</w:t>
      </w:r>
    </w:p>
    <w:p>
      <w:pPr>
        <w:pStyle w:val="ListBullet"/>
      </w:pPr>
      <w:r>
        <w:t>horas por comprador;</w:t>
      </w:r>
    </w:p>
    <w:p>
      <w:pPr>
        <w:pStyle w:val="ListBullet"/>
      </w:pPr>
      <w:r>
        <w:t>horas de curadoria;</w:t>
      </w:r>
    </w:p>
    <w:p>
      <w:pPr>
        <w:pStyle w:val="ListBullet"/>
      </w:pPr>
      <w:r>
        <w:t>custo de infraestrutura;</w:t>
      </w:r>
    </w:p>
    <w:p>
      <w:pPr>
        <w:pStyle w:val="ListBullet"/>
      </w:pPr>
      <w:r>
        <w:t>custo jurídico;</w:t>
      </w:r>
    </w:p>
    <w:p>
      <w:pPr>
        <w:pStyle w:val="ListBullet"/>
      </w:pPr>
      <w:r>
        <w:t>custo de suporte;</w:t>
      </w:r>
    </w:p>
    <w:p>
      <w:pPr>
        <w:pStyle w:val="ListBullet"/>
      </w:pPr>
      <w:r>
        <w:t>custo por match;</w:t>
      </w:r>
    </w:p>
    <w:p>
      <w:pPr>
        <w:pStyle w:val="ListBullet"/>
      </w:pPr>
      <w:r>
        <w:t>custo por reunião;</w:t>
      </w:r>
    </w:p>
    <w:p>
      <w:pPr>
        <w:pStyle w:val="ListBullet"/>
      </w:pPr>
      <w:r>
        <w:t>custo por proposta;</w:t>
      </w:r>
    </w:p>
    <w:p>
      <w:pPr>
        <w:pStyle w:val="ListBullet"/>
      </w:pPr>
      <w:r>
        <w:t>custo por contrato;</w:t>
      </w:r>
    </w:p>
    <w:p>
      <w:pPr>
        <w:pStyle w:val="ListBullet"/>
      </w:pPr>
      <w:r>
        <w:t>receita efetivamente recebida;</w:t>
      </w:r>
    </w:p>
    <w:p>
      <w:pPr>
        <w:pStyle w:val="ListBullet"/>
      </w:pPr>
      <w:r>
        <w:t>margem de contribuição.</w:t>
      </w:r>
    </w:p>
    <w:p>
      <w:r>
        <w:t>Só depois disso faz sentido discutir ARR, licença anual ou escala.</w:t>
      </w:r>
    </w:p>
    <w:p>
      <w:pPr>
        <w:pStyle w:val="Heading2"/>
      </w:pPr>
      <w:r>
        <w:t>Prioridade 6 — Manter o selo e o marketplace fora da decisão imediata</w:t>
      </w:r>
    </w:p>
    <w:p>
      <w:r>
        <w:t>O plano já sugere isso, corretamente. Eu manteria:</w:t>
      </w:r>
    </w:p>
    <w:p>
      <w:pPr>
        <w:pStyle w:val="ListBullet"/>
      </w:pPr>
      <w:r>
        <w:t>Selo;</w:t>
      </w:r>
    </w:p>
    <w:p>
      <w:pPr>
        <w:pStyle w:val="ListBullet"/>
      </w:pPr>
      <w:r>
        <w:t>marketplace aberto;</w:t>
      </w:r>
    </w:p>
    <w:p>
      <w:pPr>
        <w:pStyle w:val="ListBullet"/>
      </w:pPr>
      <w:r>
        <w:t>IA autônoma;</w:t>
      </w:r>
    </w:p>
    <w:p>
      <w:pPr>
        <w:pStyle w:val="ListBullet"/>
      </w:pPr>
      <w:r>
        <w:t>benchmarks públicos;</w:t>
      </w:r>
    </w:p>
    <w:p>
      <w:pPr>
        <w:pStyle w:val="ListBullet"/>
      </w:pPr>
      <w:r>
        <w:t>white-label amplo;</w:t>
      </w:r>
    </w:p>
    <w:p>
      <w:pPr>
        <w:pStyle w:val="ListBullet"/>
      </w:pPr>
      <w:r>
        <w:t>integrações profundas;</w:t>
      </w:r>
    </w:p>
    <w:p>
      <w:pPr>
        <w:pStyle w:val="ListBullet"/>
      </w:pPr>
      <w:r>
        <w:t>arquitetura multi-ecossistema;</w:t>
      </w:r>
    </w:p>
    <w:p>
      <w:r>
        <w:t>fora do primeiro ciclo de validação.</w:t>
      </w:r>
    </w:p>
    <w:p/>
    <w:p>
      <w:pPr>
        <w:pStyle w:val="Heading1"/>
      </w:pPr>
      <w:r>
        <w:t>Conclusão</w:t>
      </w:r>
    </w:p>
    <w:p>
      <w:r>
        <w:t>O projeto não está mal pensado. O problema é diferente: ele está sofisticado demais para o nível atual de evidência comercial.</w:t>
      </w:r>
    </w:p>
    <w:p>
      <w:r>
        <w:t>A estrutura estratégica, a disciplina de status e a preocupação com governança são pontos fortes. Porém, hoje o HUB ainda é:</w:t>
      </w:r>
    </w:p>
    <w:p>
      <w:pPr>
        <w:pStyle w:val="IntenseQuote"/>
      </w:pPr>
      <w:r>
        <w:t>uma tese bem arquitetada, com uma oportunidade concreta de validação, mas sem prova de negócio recorrente.</w:t>
      </w:r>
    </w:p>
    <w:p>
      <w:r>
        <w:t>A estrutura deve ser usada para proteger o experimento, não para adiar o experimento.</w:t>
      </w:r>
    </w:p>
    <w:p>
      <w:r>
        <w:t>O próximo passo não deveria ser completar toda a arquitetura P03–P07. Deveria ser transformar o evento e a base do SEBRAE em um piloto mínimo, formalizado e mensurável, com clareza sobre:</w:t>
      </w:r>
    </w:p>
    <w:p>
      <w:pPr>
        <w:pStyle w:val="ListBullet"/>
      </w:pPr>
      <w:r>
        <w:t>quem paga;</w:t>
      </w:r>
    </w:p>
    <w:p>
      <w:pPr>
        <w:pStyle w:val="ListBullet"/>
      </w:pPr>
      <w:r>
        <w:t>quem autoriza;</w:t>
      </w:r>
    </w:p>
    <w:p>
      <w:pPr>
        <w:pStyle w:val="ListBullet"/>
      </w:pPr>
      <w:r>
        <w:t>qual dado pode ser usado;</w:t>
      </w:r>
    </w:p>
    <w:p>
      <w:pPr>
        <w:pStyle w:val="ListBullet"/>
      </w:pPr>
      <w:r>
        <w:t>qual resultado conta;</w:t>
      </w:r>
    </w:p>
    <w:p>
      <w:pPr>
        <w:pStyle w:val="ListBullet"/>
      </w:pPr>
      <w:r>
        <w:t>quanto custa entregar;</w:t>
      </w:r>
    </w:p>
    <w:p>
      <w:pPr>
        <w:pStyle w:val="ListBullet"/>
      </w:pPr>
      <w:r>
        <w:t>o que acontece se não houver conversão;</w:t>
      </w:r>
    </w:p>
    <w:p>
      <w:pPr>
        <w:pStyle w:val="ListBullet"/>
      </w:pPr>
      <w:r>
        <w:t>e qual evidência justificará construir mais.</w:t>
      </w:r>
    </w:p>
    <w:p>
      <w:r>
        <w:t>Decisão realista hoje: avançar com um piloto enxuto de validação operacional/comercial, mas manter a plataforma completa, o modelo SaaS e a prontidão para investimento como hipóteses ainda não comprovadas.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The New HUB — Avaliação honesta dos planos | 05/09/2026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honesta dos planos de negócio e projeto do HUB</dc:title>
  <dc:subject/>
  <dc:creator>Hermes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