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widowControl/>
        <w:jc w:val="center"/>
      </w:pPr>
      <w:r>
        <w:t>ESTRATÉGIA • PLATAFORMA • IMPACTO</w:t>
      </w:r>
    </w:p>
    <w:p>
      <w:pPr>
        <w:widowControl/>
        <w:spacing w:before="2300" w:after="240"/>
        <w:jc w:val="center"/>
      </w:pPr>
      <w:r>
        <w:rPr>
          <w:rFonts w:ascii="Aptos Display" w:hAnsi="Aptos Display"/>
          <w:b/>
          <w:color w:val="102A43"/>
          <w:sz w:val="108"/>
        </w:rPr>
        <w:t>HUB.</w:t>
      </w:r>
    </w:p>
    <w:p>
      <w:pPr>
        <w:pStyle w:val="Title"/>
        <w:widowControl/>
        <w:jc w:val="center"/>
      </w:pPr>
      <w:r>
        <w:t>Documento-mãe do negócio</w:t>
      </w:r>
    </w:p>
    <w:p>
      <w:pPr>
        <w:pStyle w:val="Subtitle"/>
        <w:widowControl/>
        <w:jc w:val="center"/>
      </w:pPr>
      <w:r>
        <w:t>Arquitetura estratégica, portfólio, plataforma, selo, modelo de receita, operação e implantação</w:t>
      </w:r>
    </w:p>
    <w:p>
      <w:pPr>
        <w:pStyle w:val="KeyMessage"/>
        <w:widowControl/>
      </w:pPr>
      <w:r>
        <w:t>Diferenças que movimentam negócios.</w:t>
      </w:r>
    </w:p>
    <w:p>
      <w:pPr>
        <w:widowControl/>
        <w:jc w:val="center"/>
      </w:pPr>
      <w:r>
        <w:rPr>
          <w:color w:val="59636E"/>
          <w:sz w:val="18"/>
        </w:rPr>
        <w:t>Versão 1.0  |  Agosto de 2026  |  Documento de trabalho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Como usar este documento</w:t>
      </w:r>
    </w:p>
    <w:p>
      <w:pPr>
        <w:widowControl/>
      </w:pPr>
      <w:r>
        <w:t>Este é o documento de referência da HUB. Ele organiza a tese, as unidades do grupo, o portfólio, a Plataforma HUB, a metodologia do selo e o caminho de implementação. Serve como fonte para materiais internos, propostas a entidades, apresentações a financiadores, briefing tecnológico e regulamentos operacionais.</w:t>
      </w:r>
    </w:p>
    <w:p>
      <w:pPr>
        <w:pStyle w:val="Callout"/>
        <w:widowControl/>
      </w:pPr>
      <w:r>
        <w:t>Status das definições: “decisão” indica o que já foi acordado; “hipótese” exige validação comercial, técnica, jurídica ou financeira; “fase futura” não deve entrar no MVP.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Leitor</w:t>
            </w:r>
          </w:p>
        </w:tc>
        <w:tc>
          <w:tcPr>
            <w:tcW w:type="dxa" w:w="6696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Uso recomendado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Equipe e liderança</w:t>
            </w:r>
          </w:p>
        </w:tc>
        <w:tc>
          <w:tcPr>
            <w:tcW w:type="dxa" w:w="66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Prioridades, responsabilidades, produtos e governança.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Entidades parceiras</w:t>
            </w:r>
          </w:p>
        </w:tc>
        <w:tc>
          <w:tcPr>
            <w:tcW w:type="dxa" w:w="66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Arquitetura white-label, valor para associadas e modelo de implantação.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Financiadores e investidores</w:t>
            </w:r>
          </w:p>
        </w:tc>
        <w:tc>
          <w:tcPr>
            <w:tcW w:type="dxa" w:w="66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Escalabilidade, recorrência, ativos proprietários, impacto e roadmap.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Tecnologia</w:t>
            </w:r>
          </w:p>
        </w:tc>
        <w:tc>
          <w:tcPr>
            <w:tcW w:type="dxa" w:w="66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Perfis, módulos, jornadas, dados, integrações e escopo do MVP.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Sumário executivo</w:t>
      </w:r>
    </w:p>
    <w:p>
      <w:pPr>
        <w:pStyle w:val="KeyMessage"/>
        <w:widowControl/>
      </w:pPr>
      <w:r>
        <w:t>A HUB transforma diferenças em inteligência, conexão e resultado para os negócios.</w:t>
      </w:r>
    </w:p>
    <w:p>
      <w:pPr>
        <w:widowControl/>
      </w:pPr>
      <w:r>
        <w:t>A HUB nasce da evolução da DiverCidade: deixa de se apresentar como uma consultoria temática e passa a operar como um grupo de impacto que articula empresas, entidades, marcas, especialistas, talentos, fornecedores e comunidades. Diversidade permanece como lente proprietária de leitura do negócio, mas a promessa comercial passa a ser evolução empresarial, competitividade, acesso a mercado e resultado mensurável.</w:t>
      </w:r>
    </w:p>
    <w:p>
      <w:pPr>
        <w:widowControl/>
      </w:pPr>
      <w:r>
        <w:t>O grupo combina três frentes: Mídia e Experiências; Impacto Financiável; e Ecossistemas Empresariais. A Plataforma HUB é o principal ativo tecnológico da terceira frente e conecta diagnóstico, jornada de evolução, marketplace de soluções, talentos, fornecedores, formação, indicadores e reconhecimento.</w:t>
      </w:r>
    </w:p>
    <w:p>
      <w:pPr>
        <w:widowControl/>
      </w:pPr>
      <w:r>
        <w:t>O modelo é híbrido: existe uma rede nacional própria e, simultaneamente, ambientes personalizados para entidades como Firjan, Sebrae, ABTD e Amcham. A entidade contrata ou licencia a infraestrutura; suas organizações associadas acessam jornadas, soluções e conexões; a HUB opera metodologia, tecnologia, curadoria e inteligência.</w:t>
      </w:r>
    </w:p>
    <w:p>
      <w:pPr>
        <w:pStyle w:val="Heading1"/>
        <w:widowControl/>
      </w:pPr>
      <w:r>
        <w:t>1. Tese e posicionamento</w:t>
      </w:r>
    </w:p>
    <w:p>
      <w:pPr>
        <w:pStyle w:val="Heading2"/>
        <w:widowControl/>
      </w:pPr>
      <w:r>
        <w:t>1.1 O problema de mercado</w:t>
      </w:r>
    </w:p>
    <w:p>
      <w:pPr>
        <w:pStyle w:val="ListBullet"/>
        <w:widowControl/>
        <w:spacing w:after="60"/>
        <w:ind w:left="403" w:hanging="230"/>
      </w:pPr>
      <w:r>
        <w:t>Compromissos empresariais ficam separados da estratégia, dos processos e dos indicadores.</w:t>
      </w:r>
    </w:p>
    <w:p>
      <w:pPr>
        <w:pStyle w:val="ListBullet"/>
        <w:widowControl/>
        <w:spacing w:after="60"/>
        <w:ind w:left="403" w:hanging="230"/>
      </w:pPr>
      <w:r>
        <w:t>Entidades possuem bases, formações e relacionamentos, mas raramente conectam tudo em uma jornada única e mensurável.</w:t>
      </w:r>
    </w:p>
    <w:p>
      <w:pPr>
        <w:pStyle w:val="ListBullet"/>
        <w:widowControl/>
        <w:spacing w:after="60"/>
        <w:ind w:left="403" w:hanging="230"/>
      </w:pPr>
      <w:r>
        <w:t>Empresas não sabem onde estão, o que priorizar nem quem contratar para avançar.</w:t>
      </w:r>
    </w:p>
    <w:p>
      <w:pPr>
        <w:pStyle w:val="ListBullet"/>
        <w:widowControl/>
        <w:spacing w:after="60"/>
        <w:ind w:left="403" w:hanging="230"/>
      </w:pPr>
      <w:r>
        <w:t>Talentos, fornecedores e soluções existem, mas têm baixa visibilidade e pouca conexão com demanda real.</w:t>
      </w:r>
    </w:p>
    <w:p>
      <w:pPr>
        <w:pStyle w:val="ListBullet"/>
        <w:widowControl/>
        <w:spacing w:after="60"/>
        <w:ind w:left="403" w:hanging="230"/>
      </w:pPr>
      <w:r>
        <w:t>Selos frequentemente reconhecem intenção, sem acompanhar implementação, evidência e evolução.</w:t>
      </w:r>
    </w:p>
    <w:p>
      <w:pPr>
        <w:pStyle w:val="Heading2"/>
        <w:widowControl/>
      </w:pPr>
      <w:r>
        <w:t>1.2 A resposta da HUB</w:t>
      </w:r>
    </w:p>
    <w:p>
      <w:pPr>
        <w:widowControl/>
      </w:pPr>
      <w:r>
        <w:t>A HUB identifica o estágio da organização, traduz lacunas em prioridades, recomenda soluções, conecta atores, acompanha indicadores e reconhece avanços sustentados por evidências.</w:t>
      </w:r>
    </w:p>
    <w:p>
      <w:pPr>
        <w:pStyle w:val="Callout"/>
        <w:widowControl/>
      </w:pPr>
      <w:r>
        <w:t>Ciclo de valor: diagnosticar → planejar → conectar → implementar → medir → reconhecer → evoluir.</w:t>
      </w:r>
    </w:p>
    <w:p>
      <w:pPr>
        <w:pStyle w:val="Heading2"/>
        <w:widowControl/>
      </w:pPr>
      <w:r>
        <w:t>1.3 Categoria e promessa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88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128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Categoria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Infraestrutura de inteligência, desenvolvimento e conexão para ecossistemas empresariais.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Promessa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Transformar diferenças em inteligência, conexão e resultado.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Público comprador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Entidades empresariais, federações, associações, redes e empresas.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Diferencial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Todos os recortes conectados a todos os processos do negócio, em uma jornada contínua.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O que não somos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Diretório de cadastros, selo comprado, consultoria pontual ou agenda comemorativa.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1.4 Princípios</w:t>
      </w:r>
    </w:p>
    <w:p>
      <w:pPr>
        <w:pStyle w:val="ListBullet"/>
        <w:widowControl/>
        <w:spacing w:after="60"/>
        <w:ind w:left="403" w:hanging="230"/>
      </w:pPr>
      <w:r>
        <w:t>Diversidade é lente de negócio, não área isolada.</w:t>
      </w:r>
    </w:p>
    <w:p>
      <w:pPr>
        <w:pStyle w:val="ListBullet"/>
        <w:widowControl/>
        <w:spacing w:after="60"/>
        <w:ind w:left="403" w:hanging="230"/>
      </w:pPr>
      <w:r>
        <w:t>Evidência vale mais que declaração.</w:t>
      </w:r>
    </w:p>
    <w:p>
      <w:pPr>
        <w:pStyle w:val="ListBullet"/>
        <w:widowControl/>
        <w:spacing w:after="60"/>
        <w:ind w:left="403" w:hanging="230"/>
      </w:pPr>
      <w:r>
        <w:t>Conexão deve responder a uma necessidade real.</w:t>
      </w:r>
    </w:p>
    <w:p>
      <w:pPr>
        <w:pStyle w:val="ListBullet"/>
        <w:widowControl/>
        <w:spacing w:after="60"/>
        <w:ind w:left="403" w:hanging="230"/>
      </w:pPr>
      <w:r>
        <w:t>Diagnóstico só tem valor quando gera implementação.</w:t>
      </w:r>
    </w:p>
    <w:p>
      <w:pPr>
        <w:pStyle w:val="ListBullet"/>
        <w:widowControl/>
        <w:spacing w:after="60"/>
        <w:ind w:left="403" w:hanging="230"/>
      </w:pPr>
      <w:r>
        <w:t>Reconhecimento pressupõe evolução verificável.</w:t>
      </w:r>
    </w:p>
    <w:p>
      <w:pPr>
        <w:pStyle w:val="ListBullet"/>
        <w:widowControl/>
        <w:spacing w:after="60"/>
        <w:ind w:left="403" w:hanging="230"/>
      </w:pPr>
      <w:r>
        <w:t>Impacto social e resultado econômico podem se fortalecer mutuamente.</w:t>
      </w:r>
    </w:p>
    <w:p>
      <w:pPr>
        <w:pStyle w:val="ListBullet"/>
        <w:widowControl/>
        <w:spacing w:after="60"/>
        <w:ind w:left="403" w:hanging="230"/>
      </w:pPr>
      <w:r>
        <w:t>A plataforma deve ampliar capacidades existentes, não substituir instituições parceiras.</w:t>
      </w:r>
    </w:p>
    <w:p>
      <w:pPr>
        <w:pStyle w:val="Heading1"/>
        <w:widowControl/>
      </w:pPr>
      <w:r>
        <w:t>2. Arquitetura do Grupo 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Unidade</w:t>
            </w:r>
          </w:p>
        </w:tc>
        <w:tc>
          <w:tcPr>
            <w:tcW w:type="dxa" w:w="3744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3600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Receitas/recursos principais</w:t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HUB (marca e estratégia)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Propósito, posicionamento, metodologia, marca, relações institucionais e visão do grupo.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Gestão estratégica dos ativos e acordos entre unidades.</w:t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HUB Negócios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Operação comercial, consultoria, mídia, experiências, plataforma e ecossistemas.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Contratos, assinaturas, licenças, projetos, mídia, eventos e comissões.</w:t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Instituto HUB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Projetos de interesse público e impacto social com governança própria.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Editais, doações, fundos, incentivo fiscal e investimento social privado.</w:t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Plataforma HUB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Tecnologia, dados, diagnóstico, conexões, marketplace, jornadas e selo.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Assinatura, licenciamento, avaliação e receitas transacionais.</w:t>
            </w:r>
          </w:p>
        </w:tc>
      </w:tr>
    </w:tbl>
    <w:p>
      <w:pPr>
        <w:widowControl/>
        <w:spacing w:after="40"/>
      </w:pPr>
    </w:p>
    <w:p>
      <w:pPr>
        <w:pStyle w:val="Callout"/>
        <w:widowControl/>
      </w:pPr>
      <w:r>
        <w:t>Decisão estrutural: uma marca, uma visão e uma metodologia; operações, receitas e responsabilidades juridicamente separadas.</w:t>
      </w:r>
    </w:p>
    <w:p>
      <w:pPr>
        <w:pStyle w:val="Heading2"/>
        <w:widowControl/>
      </w:pPr>
      <w:r>
        <w:t>2.1 Regras de convivência</w:t>
      </w:r>
    </w:p>
    <w:p>
      <w:pPr>
        <w:pStyle w:val="ListBullet"/>
        <w:widowControl/>
        <w:spacing w:after="60"/>
        <w:ind w:left="403" w:hanging="230"/>
      </w:pPr>
      <w:r>
        <w:t>Contratos, contas e prestações de contas separados.</w:t>
      </w:r>
    </w:p>
    <w:p>
      <w:pPr>
        <w:pStyle w:val="ListBullet"/>
        <w:widowControl/>
        <w:spacing w:after="60"/>
        <w:ind w:left="403" w:hanging="230"/>
      </w:pPr>
      <w:r>
        <w:t>Instrumentos formais em projetos conjuntos.</w:t>
      </w:r>
    </w:p>
    <w:p>
      <w:pPr>
        <w:pStyle w:val="ListBullet"/>
        <w:widowControl/>
        <w:spacing w:after="60"/>
        <w:ind w:left="403" w:hanging="230"/>
      </w:pPr>
      <w:r>
        <w:t>Política de uso da marca, metodologia, dados e propriedade intelectual.</w:t>
      </w:r>
    </w:p>
    <w:p>
      <w:pPr>
        <w:pStyle w:val="ListBullet"/>
        <w:widowControl/>
        <w:spacing w:after="60"/>
        <w:ind w:left="403" w:hanging="230"/>
      </w:pPr>
      <w:r>
        <w:t>Critérios transparentes para repasses, licenças e rateios.</w:t>
      </w:r>
    </w:p>
    <w:p>
      <w:pPr>
        <w:pStyle w:val="ListBullet"/>
        <w:widowControl/>
        <w:spacing w:after="60"/>
        <w:ind w:left="403" w:hanging="230"/>
      </w:pPr>
      <w:r>
        <w:t>Governança própria para o Instituto e política de conflito de interesses.</w:t>
      </w:r>
    </w:p>
    <w:p>
      <w:pPr>
        <w:pStyle w:val="ListBullet"/>
        <w:widowControl/>
        <w:spacing w:after="60"/>
        <w:ind w:left="403" w:hanging="230"/>
      </w:pPr>
      <w:r>
        <w:t>Validação jurídica e tributária antes de qualquer desenho definitivo de grupo ou holding.</w:t>
      </w:r>
    </w:p>
    <w:p>
      <w:pPr>
        <w:pStyle w:val="Heading1"/>
        <w:widowControl/>
      </w:pPr>
      <w:r>
        <w:t>3. Portfólio integrado</w:t>
      </w:r>
    </w:p>
    <w:p>
      <w:pPr>
        <w:pStyle w:val="Heading2"/>
        <w:widowControl/>
      </w:pPr>
      <w:r>
        <w:t>3.1 Mídia e Experiências</w:t>
      </w:r>
    </w:p>
    <w:p>
      <w:pPr>
        <w:widowControl/>
      </w:pPr>
      <w:r>
        <w:t>Projetos que conectam marcas a comunidades e transformam atenção em participação, relacionamento e conversão.</w:t>
      </w:r>
    </w:p>
    <w:p>
      <w:pPr>
        <w:pStyle w:val="ListBullet"/>
        <w:widowControl/>
        <w:spacing w:after="60"/>
        <w:ind w:left="403" w:hanging="230"/>
      </w:pPr>
      <w:r>
        <w:t>DiverseMatch e experiências de conexão.</w:t>
      </w:r>
    </w:p>
    <w:p>
      <w:pPr>
        <w:pStyle w:val="ListBullet"/>
        <w:widowControl/>
        <w:spacing w:after="60"/>
        <w:ind w:left="403" w:hanging="230"/>
      </w:pPr>
      <w:r>
        <w:t>Festivalzinho e eventos proprietários.</w:t>
      </w:r>
    </w:p>
    <w:p>
      <w:pPr>
        <w:pStyle w:val="ListBullet"/>
        <w:widowControl/>
        <w:spacing w:after="60"/>
        <w:ind w:left="403" w:hanging="230"/>
      </w:pPr>
      <w:r>
        <w:t>Campanhas, conteúdo, mídia e narrativas de marca.</w:t>
      </w:r>
    </w:p>
    <w:p>
      <w:pPr>
        <w:pStyle w:val="ListBullet"/>
        <w:widowControl/>
        <w:spacing w:after="60"/>
        <w:ind w:left="403" w:hanging="230"/>
      </w:pPr>
      <w:r>
        <w:t>Ativações com acessibilidade, curadoria e mensuração.</w:t>
      </w:r>
    </w:p>
    <w:p>
      <w:pPr>
        <w:pStyle w:val="ListBullet"/>
        <w:widowControl/>
        <w:spacing w:after="60"/>
        <w:ind w:left="403" w:hanging="230"/>
      </w:pPr>
      <w:r>
        <w:t>Estudos, premiações, agendas e experiências patrocináveis.</w:t>
      </w:r>
    </w:p>
    <w:p>
      <w:pPr>
        <w:pStyle w:val="Heading2"/>
        <w:widowControl/>
      </w:pPr>
      <w:r>
        <w:t>3.2 Impacto Financiável</w:t>
      </w:r>
    </w:p>
    <w:p>
      <w:pPr>
        <w:widowControl/>
      </w:pPr>
      <w:r>
        <w:t>Projetos de finalidade pública operados pelo Instituto HUB, com foco em formação, empregabilidade, empreendedorismo, cultura, acessibilidade e inclusão produtiva.</w:t>
      </w:r>
    </w:p>
    <w:p>
      <w:pPr>
        <w:pStyle w:val="ListBullet"/>
        <w:widowControl/>
        <w:spacing w:after="60"/>
        <w:ind w:left="403" w:hanging="230"/>
      </w:pPr>
      <w:r>
        <w:t>Leis de incentivo e fundos.</w:t>
      </w:r>
    </w:p>
    <w:p>
      <w:pPr>
        <w:pStyle w:val="ListBullet"/>
        <w:widowControl/>
        <w:spacing w:after="60"/>
        <w:ind w:left="403" w:hanging="230"/>
      </w:pPr>
      <w:r>
        <w:t>Editais e termos de fomento.</w:t>
      </w:r>
    </w:p>
    <w:p>
      <w:pPr>
        <w:pStyle w:val="ListBullet"/>
        <w:widowControl/>
        <w:spacing w:after="60"/>
        <w:ind w:left="403" w:hanging="230"/>
      </w:pPr>
      <w:r>
        <w:t>Investimento social privado.</w:t>
      </w:r>
    </w:p>
    <w:p>
      <w:pPr>
        <w:pStyle w:val="ListBullet"/>
        <w:widowControl/>
        <w:spacing w:after="60"/>
        <w:ind w:left="403" w:hanging="230"/>
      </w:pPr>
      <w:r>
        <w:t>Projetos gratuitos ou subsidiados para públicos prioritários.</w:t>
      </w:r>
    </w:p>
    <w:p>
      <w:pPr>
        <w:pStyle w:val="ListBullet"/>
        <w:widowControl/>
        <w:spacing w:after="60"/>
        <w:ind w:left="403" w:hanging="230"/>
      </w:pPr>
      <w:r>
        <w:t>Mensuração de impacto e prestação de contas.</w:t>
      </w:r>
    </w:p>
    <w:p>
      <w:pPr>
        <w:pStyle w:val="Heading2"/>
        <w:widowControl/>
      </w:pPr>
      <w:r>
        <w:t>3.3 Ecossistemas Empresariais</w:t>
      </w:r>
    </w:p>
    <w:p>
      <w:pPr>
        <w:widowControl/>
      </w:pPr>
      <w:r>
        <w:t>Programas contínuos para entidades e redes com dezenas ou centenas de organizações, apoiados pela Plataforma HUB.</w:t>
      </w:r>
    </w:p>
    <w:p>
      <w:pPr>
        <w:pStyle w:val="ListBullet"/>
        <w:widowControl/>
        <w:spacing w:after="60"/>
        <w:ind w:left="403" w:hanging="230"/>
      </w:pPr>
      <w:r>
        <w:t>Censos, diagnósticos e índices de maturidade.</w:t>
      </w:r>
    </w:p>
    <w:p>
      <w:pPr>
        <w:pStyle w:val="ListBullet"/>
        <w:widowControl/>
        <w:spacing w:after="60"/>
        <w:ind w:left="403" w:hanging="230"/>
      </w:pPr>
      <w:r>
        <w:t>Jornadas coletivas de desenvolvimento.</w:t>
      </w:r>
    </w:p>
    <w:p>
      <w:pPr>
        <w:pStyle w:val="ListBullet"/>
        <w:widowControl/>
        <w:spacing w:after="60"/>
        <w:ind w:left="403" w:hanging="230"/>
      </w:pPr>
      <w:r>
        <w:t>Talentos, fornecedores, especialistas e soluções.</w:t>
      </w:r>
    </w:p>
    <w:p>
      <w:pPr>
        <w:pStyle w:val="ListBullet"/>
        <w:widowControl/>
        <w:spacing w:after="60"/>
        <w:ind w:left="403" w:hanging="230"/>
      </w:pPr>
      <w:r>
        <w:t>Academias, observatórios e comunidades.</w:t>
      </w:r>
    </w:p>
    <w:p>
      <w:pPr>
        <w:pStyle w:val="ListBullet"/>
        <w:widowControl/>
        <w:spacing w:after="60"/>
        <w:ind w:left="403" w:hanging="230"/>
      </w:pPr>
      <w:r>
        <w:t>Selo com critérios e evidências.</w:t>
      </w:r>
    </w:p>
    <w:p>
      <w:pPr>
        <w:pStyle w:val="ListBullet"/>
        <w:widowControl/>
        <w:spacing w:after="60"/>
        <w:ind w:left="403" w:hanging="230"/>
      </w:pPr>
      <w:r>
        <w:t>Ambientes personalizados por entidade ou setor.</w:t>
      </w:r>
    </w:p>
    <w:p>
      <w:pPr>
        <w:pStyle w:val="Heading2"/>
        <w:widowControl/>
      </w:pPr>
      <w:r>
        <w:t>3.4 Produtos proprietários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type="dxa" w:w="6624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Função dentro do ecossistema</w:t>
            </w:r>
          </w:p>
        </w:tc>
      </w:tr>
      <w:t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DiverseMatch Talentos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Conectar profissionais e oportunidades com curadoria e acompanhamento.</w:t>
            </w:r>
          </w:p>
        </w:tc>
      </w:tr>
      <w:t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DiverseMatch Fornecedores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Conectar fornecedores a demandas reais, prontidão e homologação.</w:t>
            </w:r>
          </w:p>
        </w:tc>
      </w:tr>
      <w:t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Festivalzinho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Experiência de marca, cultura, família e acessibilidade.</w:t>
            </w:r>
          </w:p>
        </w:tc>
      </w:tr>
      <w:t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Método C.A.O.S.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Organizar intervenções do contexto à sustentação.</w:t>
            </w:r>
          </w:p>
        </w:tc>
      </w:tr>
      <w:t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Selo HUB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Reconhecer maturidade e evolução baseadas em evidências.</w:t>
            </w:r>
          </w:p>
        </w:tc>
      </w:tr>
      <w:t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Observatórios e estudos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Transformar dados agregados em inteligência e autoridade.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 Método C.A.O.S.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656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880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Pergunta central</w:t>
            </w:r>
          </w:p>
        </w:tc>
        <w:tc>
          <w:tcPr>
            <w:tcW w:type="dxa" w:w="4680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Entregas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Contexto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Onde estamos e o que realmente importa?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Leitura do território, baseline, escuta, riscos e prioridades.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Arquitetura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Que sistema responde ao contexto?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Jornada, governança, soluções, indicadores e desenho de experiência.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Operação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Como transformar desenho em prática?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Execução, rituais, responsáveis, curadoria, tecnologia e correções.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Sustentação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Como isso permanece vivo e escala?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Capacidades internas, dados, comunidade, financiamento, legado e expansão.</w:t>
            </w:r>
          </w:p>
        </w:tc>
      </w:tr>
    </w:tbl>
    <w:p>
      <w:pPr>
        <w:widowControl/>
        <w:spacing w:after="40"/>
      </w:pPr>
    </w:p>
    <w:p>
      <w:pPr>
        <w:pStyle w:val="Callout"/>
        <w:widowControl/>
      </w:pPr>
      <w:r>
        <w:t>Padronização aprovada: o “A” significa Arquitetura. Ativação é uma atividade da Operação.</w:t>
      </w:r>
    </w:p>
    <w:p>
      <w:pPr>
        <w:pStyle w:val="Heading1"/>
        <w:widowControl/>
      </w:pPr>
      <w:r>
        <w:t>5. Plataforma HUB</w:t>
      </w:r>
    </w:p>
    <w:p>
      <w:pPr>
        <w:pStyle w:val="Heading2"/>
        <w:widowControl/>
      </w:pPr>
      <w:r>
        <w:t>5.1 Proposta de valor</w:t>
      </w:r>
    </w:p>
    <w:p>
      <w:pPr>
        <w:widowControl/>
      </w:pPr>
      <w:r>
        <w:t>Um ambiente que identifica onde cada organização está, mostra aonde ela pode chegar e conecta tudo o que precisa para avançar.</w:t>
      </w:r>
    </w:p>
    <w:p>
      <w:pPr>
        <w:pStyle w:val="Heading2"/>
        <w:widowControl/>
      </w:pPr>
      <w:r>
        <w:t>5.2 Seis módulos centrais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768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HUB Intelligence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Diagnóstico, indicadores, evidências, benchmark e inteligência agregada.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HUB Journey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Prioridades, plano de evolução, metas, responsáveis, prazos e acompanhamento.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HUB Solutions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Marketplace de serviços, produtos, tecnologias, especialistas e projetos.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HUB Connections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Talentos, fornecedores, oportunidades, demandas e matching.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HUB Academy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Trilhas, conteúdos, eventos, comunidades e desenvolvimento.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HUB Recognition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Avaliação, validação de evidências, níveis, selo e renovação.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5.3 Perfis de usuário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6768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Objetivo principal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Entidade parceira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Gerir o ecossistema, acompanhar maturidade e ofertar valor às associadas.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Empresa participante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Diagnosticar, priorizar, contratar soluções, conectar-se e comprovar evolução.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Talento/fornecedor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Demonstrar capacidade, desenvolver prontidão e acessar oportunidades.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Especialista/solução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Ser curado, recomendado, contratado e avaliado.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Equipe HUB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Operar metodologia, curadoria, suporte, dados, selo e qualidade.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Avaliador/comitê</w:t>
            </w:r>
          </w:p>
        </w:tc>
        <w:tc>
          <w:tcPr>
            <w:tcW w:type="dxa" w:w="67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Analisar evidências, mitigar conflitos e decidir reconhecimentos.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5.4 Jornada da organização</w:t>
      </w:r>
    </w:p>
    <w:p>
      <w:pPr>
        <w:pStyle w:val="ListNumber"/>
        <w:widowControl/>
        <w:spacing w:after="80"/>
        <w:ind w:left="432" w:hanging="259"/>
      </w:pPr>
      <w:r>
        <w:t>Adesão, cadastro e aceite de regras de uso e dados.</w:t>
      </w:r>
    </w:p>
    <w:p>
      <w:pPr>
        <w:pStyle w:val="ListNumber"/>
        <w:widowControl/>
        <w:spacing w:after="80"/>
        <w:ind w:left="432" w:hanging="259"/>
      </w:pPr>
      <w:r>
        <w:t>Diagnóstico inicial e envio de evidências básicas.</w:t>
      </w:r>
    </w:p>
    <w:p>
      <w:pPr>
        <w:pStyle w:val="ListNumber"/>
        <w:widowControl/>
        <w:spacing w:after="80"/>
        <w:ind w:left="432" w:hanging="259"/>
      </w:pPr>
      <w:r>
        <w:t>Devolutiva de maturidade, riscos, fortalezas e oportunidades.</w:t>
      </w:r>
    </w:p>
    <w:p>
      <w:pPr>
        <w:pStyle w:val="ListNumber"/>
        <w:widowControl/>
        <w:spacing w:after="80"/>
        <w:ind w:left="432" w:hanging="259"/>
      </w:pPr>
      <w:r>
        <w:t>Criação do plano de evolução com prioridades e responsáveis.</w:t>
      </w:r>
    </w:p>
    <w:p>
      <w:pPr>
        <w:pStyle w:val="ListNumber"/>
        <w:widowControl/>
        <w:spacing w:after="80"/>
        <w:ind w:left="432" w:hanging="259"/>
      </w:pPr>
      <w:r>
        <w:t>Recomendação de conteúdos, soluções, talentos ou fornecedores.</w:t>
      </w:r>
    </w:p>
    <w:p>
      <w:pPr>
        <w:pStyle w:val="ListNumber"/>
        <w:widowControl/>
        <w:spacing w:after="80"/>
        <w:ind w:left="432" w:hanging="259"/>
      </w:pPr>
      <w:r>
        <w:t>Implementação e acompanhamento periódico dos indicadores.</w:t>
      </w:r>
    </w:p>
    <w:p>
      <w:pPr>
        <w:pStyle w:val="ListNumber"/>
        <w:widowControl/>
        <w:spacing w:after="80"/>
        <w:ind w:left="432" w:hanging="259"/>
      </w:pPr>
      <w:r>
        <w:t>Submissão de evidências para avaliação do selo.</w:t>
      </w:r>
    </w:p>
    <w:p>
      <w:pPr>
        <w:pStyle w:val="ListNumber"/>
        <w:widowControl/>
        <w:spacing w:after="80"/>
        <w:ind w:left="432" w:hanging="259"/>
      </w:pPr>
      <w:r>
        <w:t>Reconhecimento, comunicação responsável e nova jornada de evolução.</w:t>
      </w:r>
    </w:p>
    <w:p>
      <w:pPr>
        <w:pStyle w:val="Heading2"/>
        <w:widowControl/>
      </w:pPr>
      <w:r>
        <w:t>5.5 Arquitetura white-label</w:t>
      </w:r>
    </w:p>
    <w:p>
      <w:pPr>
        <w:widowControl/>
      </w:pPr>
      <w:r>
        <w:t>A tecnologia e a metodologia são centrais; a experiência pode receber nome, identidade, trilhas, critérios complementares e painéis específicos do parceiro. A plataforma deve preservar o vínculo “powered by HUB” e regras mínimas de integridade metodológica.</w:t>
      </w:r>
    </w:p>
    <w:p>
      <w:pPr>
        <w:pStyle w:val="Heading1"/>
        <w:widowControl/>
      </w:pPr>
      <w:r>
        <w:t>6. Selo HUB</w:t>
      </w:r>
    </w:p>
    <w:p>
      <w:pPr>
        <w:pStyle w:val="Heading2"/>
        <w:widowControl/>
      </w:pPr>
      <w:r>
        <w:t>6.1 Finalidade</w:t>
      </w:r>
    </w:p>
    <w:p>
      <w:pPr>
        <w:widowControl/>
      </w:pPr>
      <w:r>
        <w:t>O selo não é o produto final; é a consequência pública de uma jornada de evolução. Ele reconhece capacidade institucional comprovada, não campanhas isoladas ou intenção declarada.</w:t>
      </w:r>
    </w:p>
    <w:p>
      <w:pPr>
        <w:pStyle w:val="Heading2"/>
        <w:widowControl/>
      </w:pPr>
      <w:r>
        <w:t>6.2 Dimensões do núcleo comum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664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6552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Escopo</w:t>
            </w:r>
          </w:p>
        </w:tc>
      </w:tr>
      <w:tr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Governança e estratégia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Compromissos, responsabilidades, recursos, riscos e decisões.</w:t>
            </w:r>
          </w:p>
        </w:tc>
      </w:tr>
      <w:tr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Liderança e cultura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Comportamentos, segurança, responsabilização e coerência.</w:t>
            </w:r>
          </w:p>
        </w:tc>
      </w:tr>
      <w:tr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Pessoas e desenvolvimento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Entrada, permanência, mobilidade, remuneração e desenvolvimento.</w:t>
            </w:r>
          </w:p>
        </w:tc>
      </w:tr>
      <w:tr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Produtos, serviços e experiência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Quem é considerado na concepção, entrega e atendimento.</w:t>
            </w:r>
          </w:p>
        </w:tc>
      </w:tr>
      <w:tr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Marketing e comunicação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Representação, acessibilidade, linguagem e responsabilidade.</w:t>
            </w:r>
          </w:p>
        </w:tc>
      </w:tr>
      <w:tr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Compras e cadeia de valor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Critérios, oportunidades, spend, desenvolvimento e pagamento.</w:t>
            </w:r>
          </w:p>
        </w:tc>
      </w:tr>
      <w:tr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Acessibilidade e infraestrutura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Ambientes físicos, digitais, comunicação e adaptações.</w:t>
            </w:r>
          </w:p>
        </w:tc>
      </w:tr>
      <w:tr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Dados, impacto e transparência</w:t>
            </w:r>
          </w:p>
        </w:tc>
        <w:tc>
          <w:tcPr>
            <w:tcW w:type="dxa" w:w="65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Qualidade dos dados, metas, resultados e comunicação pública.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6.3 Escala de maturidade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6984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1 — Reconhece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Identifica a relevância, mas atua de forma pontual e pouco sistematizada.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2 — Estrutura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Define responsáveis, políticas, dados iniciais e planos.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3 — Implementa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Executa práticas recorrentes, mede entregas e corrige desvios.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4 — Integra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Conecta a agenda à estratégia, processos, metas e decisões do negócio.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5 — Transforma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Gera influência externa, inovação, impacto e melhoria contínua comprovada.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6.4 Processo de reconhecimento</w:t>
      </w:r>
    </w:p>
    <w:p>
      <w:pPr>
        <w:pStyle w:val="ListNumber"/>
        <w:widowControl/>
        <w:spacing w:after="80"/>
        <w:ind w:left="432" w:hanging="259"/>
      </w:pPr>
      <w:r>
        <w:t>Diagnóstico de elegibilidade.</w:t>
      </w:r>
    </w:p>
    <w:p>
      <w:pPr>
        <w:pStyle w:val="ListNumber"/>
        <w:widowControl/>
        <w:spacing w:after="80"/>
        <w:ind w:left="432" w:hanging="259"/>
      </w:pPr>
      <w:r>
        <w:t>Submissão de dados e evidências.</w:t>
      </w:r>
    </w:p>
    <w:p>
      <w:pPr>
        <w:pStyle w:val="ListNumber"/>
        <w:widowControl/>
        <w:spacing w:after="80"/>
        <w:ind w:left="432" w:hanging="259"/>
      </w:pPr>
      <w:r>
        <w:t>Análise técnica e pedidos de complementação.</w:t>
      </w:r>
    </w:p>
    <w:p>
      <w:pPr>
        <w:pStyle w:val="ListNumber"/>
        <w:widowControl/>
        <w:spacing w:after="80"/>
        <w:ind w:left="432" w:hanging="259"/>
      </w:pPr>
      <w:r>
        <w:t>Amostragem, entrevistas ou auditoria quando aplicável.</w:t>
      </w:r>
    </w:p>
    <w:p>
      <w:pPr>
        <w:pStyle w:val="ListNumber"/>
        <w:widowControl/>
        <w:spacing w:after="80"/>
        <w:ind w:left="432" w:hanging="259"/>
      </w:pPr>
      <w:r>
        <w:t>Decisão por instância independente e registro da justificativa.</w:t>
      </w:r>
    </w:p>
    <w:p>
      <w:pPr>
        <w:pStyle w:val="ListNumber"/>
        <w:widowControl/>
        <w:spacing w:after="80"/>
        <w:ind w:left="432" w:hanging="259"/>
      </w:pPr>
      <w:r>
        <w:t>Concessão com escopo, nível, validade e condições públicas.</w:t>
      </w:r>
    </w:p>
    <w:p>
      <w:pPr>
        <w:pStyle w:val="ListNumber"/>
        <w:widowControl/>
        <w:spacing w:after="80"/>
        <w:ind w:left="432" w:hanging="259"/>
      </w:pPr>
      <w:r>
        <w:t>Monitoramento de fatos relevantes.</w:t>
      </w:r>
    </w:p>
    <w:p>
      <w:pPr>
        <w:pStyle w:val="ListNumber"/>
        <w:widowControl/>
        <w:spacing w:after="80"/>
        <w:ind w:left="432" w:hanging="259"/>
      </w:pPr>
      <w:r>
        <w:t>Renovação, suspensão ou retirada conforme regulamento.</w:t>
      </w:r>
    </w:p>
    <w:p>
      <w:pPr>
        <w:pStyle w:val="Heading2"/>
        <w:widowControl/>
      </w:pPr>
      <w:r>
        <w:t>6.5 Integridade</w:t>
      </w:r>
    </w:p>
    <w:p>
      <w:pPr>
        <w:pStyle w:val="ListBullet"/>
        <w:widowControl/>
        <w:spacing w:after="60"/>
        <w:ind w:left="403" w:hanging="230"/>
      </w:pPr>
      <w:r>
        <w:t>Receita comercial não garante reconhecimento.</w:t>
      </w:r>
    </w:p>
    <w:p>
      <w:pPr>
        <w:pStyle w:val="ListBullet"/>
        <w:widowControl/>
        <w:spacing w:after="60"/>
        <w:ind w:left="403" w:hanging="230"/>
      </w:pPr>
      <w:r>
        <w:t>Critérios, pesos, conflitos e recursos precisam ser publicados.</w:t>
      </w:r>
    </w:p>
    <w:p>
      <w:pPr>
        <w:pStyle w:val="ListBullet"/>
        <w:widowControl/>
        <w:spacing w:after="60"/>
        <w:ind w:left="403" w:hanging="230"/>
      </w:pPr>
      <w:r>
        <w:t>Comunicação deve informar escopo e validade do selo.</w:t>
      </w:r>
    </w:p>
    <w:p>
      <w:pPr>
        <w:pStyle w:val="ListBullet"/>
        <w:widowControl/>
        <w:spacing w:after="60"/>
        <w:ind w:left="403" w:hanging="230"/>
      </w:pPr>
      <w:r>
        <w:t>Denúncias e fatos supervenientes devem ter canal e procedimento.</w:t>
      </w:r>
    </w:p>
    <w:p>
      <w:pPr>
        <w:pStyle w:val="ListBullet"/>
        <w:widowControl/>
        <w:spacing w:after="60"/>
        <w:ind w:left="403" w:hanging="230"/>
      </w:pPr>
      <w:r>
        <w:t>Dados sensíveis e comparações devem seguir LGPD, minimização e finalidade.</w:t>
      </w:r>
    </w:p>
    <w:p>
      <w:pPr>
        <w:pStyle w:val="ListBullet"/>
        <w:widowControl/>
        <w:spacing w:after="60"/>
        <w:ind w:left="403" w:hanging="230"/>
      </w:pPr>
      <w:r>
        <w:t>A metodologia deve ser revisada por comitê técnico plural e independente.</w:t>
      </w:r>
    </w:p>
    <w:p>
      <w:pPr>
        <w:pStyle w:val="Heading1"/>
        <w:widowControl/>
      </w:pPr>
      <w:r>
        <w:t>7. Ecossistemas parceiros</w:t>
      </w:r>
    </w:p>
    <w:p>
      <w:pPr>
        <w:pStyle w:val="Heading2"/>
        <w:widowControl/>
      </w:pPr>
      <w:r>
        <w:t>7.1 Modelo híbrido</w:t>
      </w:r>
    </w:p>
    <w:p>
      <w:pPr>
        <w:widowControl/>
      </w:pPr>
      <w:r>
        <w:t>A HUB mantém rede nacional própria e licencia ambientes personalizados. A mesma organização pode participar da rede nacional e de um ecossistema setorial, respeitando consentimentos, regras de dados e benefícios contratados.</w:t>
      </w:r>
    </w:p>
    <w:p>
      <w:pPr>
        <w:pStyle w:val="Heading2"/>
        <w:widowControl/>
      </w:pPr>
      <w:r>
        <w:t>7.2 Sebrae — Hub de Oportunidades</w:t>
      </w:r>
    </w:p>
    <w:p>
      <w:pPr>
        <w:pStyle w:val="Callout"/>
        <w:widowControl/>
      </w:pPr>
      <w:r>
        <w:t>Promessa: transformar bases de pequenos negócios em acesso real ao mercado.</w:t>
      </w:r>
    </w:p>
    <w:p>
      <w:pPr>
        <w:pStyle w:val="ListBullet"/>
        <w:widowControl/>
        <w:spacing w:after="60"/>
        <w:ind w:left="403" w:hanging="230"/>
      </w:pPr>
      <w:r>
        <w:t>Diagnóstico de prontidão e trilha para homologação.</w:t>
      </w:r>
    </w:p>
    <w:p>
      <w:pPr>
        <w:pStyle w:val="ListBullet"/>
        <w:widowControl/>
        <w:spacing w:after="60"/>
        <w:ind w:left="403" w:hanging="230"/>
      </w:pPr>
      <w:r>
        <w:t>Match fornecedor–comprador orientado por demanda.</w:t>
      </w:r>
    </w:p>
    <w:p>
      <w:pPr>
        <w:pStyle w:val="ListBullet"/>
        <w:widowControl/>
        <w:spacing w:after="60"/>
        <w:ind w:left="403" w:hanging="230"/>
      </w:pPr>
      <w:r>
        <w:t>Capacitação acionada pelos gargalos observados.</w:t>
      </w:r>
    </w:p>
    <w:p>
      <w:pPr>
        <w:pStyle w:val="ListBullet"/>
        <w:widowControl/>
        <w:spacing w:after="60"/>
        <w:ind w:left="403" w:hanging="230"/>
      </w:pPr>
      <w:r>
        <w:t>Rodadas, Pitch Days e acompanhamento pós-evento.</w:t>
      </w:r>
    </w:p>
    <w:p>
      <w:pPr>
        <w:pStyle w:val="ListBullet"/>
        <w:widowControl/>
        <w:spacing w:after="60"/>
        <w:ind w:left="403" w:hanging="230"/>
      </w:pPr>
      <w:r>
        <w:t>Observatório de oportunidades e conversão.</w:t>
      </w:r>
    </w:p>
    <w:p>
      <w:pPr>
        <w:pStyle w:val="ListBullet"/>
        <w:widowControl/>
        <w:spacing w:after="60"/>
        <w:ind w:left="403" w:hanging="230"/>
      </w:pPr>
      <w:r>
        <w:t>Selo de Compras Plurais para empresas compradoras.</w:t>
      </w:r>
    </w:p>
    <w:p>
      <w:pPr>
        <w:pStyle w:val="Heading2"/>
        <w:widowControl/>
      </w:pPr>
      <w:r>
        <w:t>7.3 Firjan — Laboratório do Futuro</w:t>
      </w:r>
    </w:p>
    <w:p>
      <w:pPr>
        <w:pStyle w:val="Callout"/>
        <w:widowControl/>
      </w:pPr>
      <w:r>
        <w:t>Promessa: transformar diferenças, tecnologia e conhecimento em competitividade industrial.</w:t>
      </w:r>
    </w:p>
    <w:p>
      <w:pPr>
        <w:pStyle w:val="ListBullet"/>
        <w:widowControl/>
        <w:spacing w:after="60"/>
        <w:ind w:left="403" w:hanging="230"/>
      </w:pPr>
      <w:r>
        <w:t>Observatório de competitividade.</w:t>
      </w:r>
    </w:p>
    <w:p>
      <w:pPr>
        <w:pStyle w:val="ListBullet"/>
        <w:widowControl/>
        <w:spacing w:after="60"/>
        <w:ind w:left="403" w:hanging="230"/>
      </w:pPr>
      <w:r>
        <w:t>Academia de liderança industrial.</w:t>
      </w:r>
    </w:p>
    <w:p>
      <w:pPr>
        <w:pStyle w:val="ListBullet"/>
        <w:widowControl/>
        <w:spacing w:after="60"/>
        <w:ind w:left="403" w:hanging="230"/>
      </w:pPr>
      <w:r>
        <w:t>IA e futuro do trabalho.</w:t>
      </w:r>
    </w:p>
    <w:p>
      <w:pPr>
        <w:pStyle w:val="ListBullet"/>
        <w:widowControl/>
        <w:spacing w:after="60"/>
        <w:ind w:left="403" w:hanging="230"/>
      </w:pPr>
      <w:r>
        <w:t>DiverseMatch Talentos e Fornecedores.</w:t>
      </w:r>
    </w:p>
    <w:p>
      <w:pPr>
        <w:pStyle w:val="ListBullet"/>
        <w:widowControl/>
        <w:spacing w:after="60"/>
        <w:ind w:left="403" w:hanging="230"/>
      </w:pPr>
      <w:r>
        <w:t>Inovação aberta.</w:t>
      </w:r>
    </w:p>
    <w:p>
      <w:pPr>
        <w:pStyle w:val="ListBullet"/>
        <w:widowControl/>
        <w:spacing w:after="60"/>
        <w:ind w:left="403" w:hanging="230"/>
      </w:pPr>
      <w:r>
        <w:t>Comunidade de associadas.</w:t>
      </w:r>
    </w:p>
    <w:p>
      <w:pPr>
        <w:pStyle w:val="ListBullet"/>
        <w:widowControl/>
        <w:spacing w:after="60"/>
        <w:ind w:left="403" w:hanging="230"/>
      </w:pPr>
      <w:r>
        <w:t>Selo de Competitividade.</w:t>
      </w:r>
    </w:p>
    <w:p>
      <w:pPr>
        <w:pStyle w:val="Heading2"/>
        <w:widowControl/>
      </w:pPr>
      <w:r>
        <w:t>7.4 Outras aplicações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944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Parceiro</w:t>
            </w:r>
          </w:p>
        </w:tc>
        <w:tc>
          <w:tcPr>
            <w:tcW w:type="dxa" w:w="3816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Tese provável</w:t>
            </w:r>
          </w:p>
        </w:tc>
        <w:tc>
          <w:tcPr>
            <w:tcW w:type="dxa" w:w="3456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Primeiros módulos</w:t>
            </w:r>
          </w:p>
        </w:tc>
      </w:tr>
      <w:t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ABTD</w:t>
            </w:r>
          </w:p>
        </w:tc>
        <w:tc>
          <w:tcPr>
            <w:tcW w:type="dxa" w:w="38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Desenvolvimento humano conectado à transformação organizacional.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Academy, Intelligence, Solutions e Recognition.</w:t>
            </w:r>
          </w:p>
        </w:tc>
      </w:tr>
      <w:t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Amcham</w:t>
            </w:r>
          </w:p>
        </w:tc>
        <w:tc>
          <w:tcPr>
            <w:tcW w:type="dxa" w:w="38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Negócios preparados para competir, inovar e conectar mercados.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Intelligence, Connections, Solutions e Recognition.</w:t>
            </w:r>
          </w:p>
        </w:tc>
      </w:tr>
      <w:t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Federações/associações</w:t>
            </w:r>
          </w:p>
        </w:tc>
        <w:tc>
          <w:tcPr>
            <w:tcW w:type="dxa" w:w="38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Serviços recorrentes e inteligência para a base associada.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Journey, Academy, Solutions e painéis agregados.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8. Modelo de negócio</w:t>
      </w:r>
    </w:p>
    <w:p>
      <w:pPr>
        <w:pStyle w:val="Heading2"/>
        <w:widowControl/>
      </w:pPr>
      <w:r>
        <w:t>8.1 Fontes de receita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Linha</w:t>
            </w:r>
          </w:p>
        </w:tc>
        <w:tc>
          <w:tcPr>
            <w:tcW w:type="dxa" w:w="1944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Pagador</w:t>
            </w:r>
          </w:p>
        </w:tc>
        <w:tc>
          <w:tcPr>
            <w:tcW w:type="dxa" w:w="5112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Mecânica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Licenciamento de ecossistema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Entidade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Contrato anual com configuração, operação e painel.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Assinatura empresarial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Empresa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Plano recorrente por porte, usuários ou módulos.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Diagnóstico e selo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Empresa/entidade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Avaliação, evidências, auditoria e renovação.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Marketplace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Fornecedor/solução/comprador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Comissão, fee por lead qualificado ou transação, conforme regras.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Implementação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Empresa/entidade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Projetos, consultoria e operação de jornadas.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Mídia e experiências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Marca/patrocinador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Cotas, conteúdo, eventos e ativações.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Impacto financiável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Fundo/patrocinador/poder público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Projeto de finalidade pública operado pelo Instituto.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8.2 Escada de produtos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656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096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Oferta</w:t>
            </w:r>
          </w:p>
        </w:tc>
        <w:tc>
          <w:tcPr>
            <w:tcW w:type="dxa" w:w="4464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Entrada</w:t>
            </w:r>
          </w:p>
        </w:tc>
        <w:tc>
          <w:tcPr>
            <w:tcW w:type="dxa" w:w="30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Diagnóstico, evento, estudo ou desafio específico.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Gerar confiança e evidenciar oportunidade.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Conversão</w:t>
            </w:r>
          </w:p>
        </w:tc>
        <w:tc>
          <w:tcPr>
            <w:tcW w:type="dxa" w:w="30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Assinatura ou jornada de evolução.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Criar recorrência e implementação.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Expansão</w:t>
            </w:r>
          </w:p>
        </w:tc>
        <w:tc>
          <w:tcPr>
            <w:tcW w:type="dxa" w:w="30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Módulos, selo, marketplace e projetos.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Aumentar valor e profundidade.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Ecossistema</w:t>
            </w:r>
          </w:p>
        </w:tc>
        <w:tc>
          <w:tcPr>
            <w:tcW w:type="dxa" w:w="30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Licenciamento white-label para entidade.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Escalar para dezenas ou centenas de organizações.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8.3 Premissas financeiras a validar</w:t>
      </w:r>
    </w:p>
    <w:p>
      <w:pPr>
        <w:pStyle w:val="ListBullet"/>
        <w:widowControl/>
        <w:spacing w:after="60"/>
        <w:ind w:left="403" w:hanging="230"/>
      </w:pPr>
      <w:r>
        <w:t>Custo de aquisição por tipo de cliente.</w:t>
      </w:r>
    </w:p>
    <w:p>
      <w:pPr>
        <w:pStyle w:val="ListBullet"/>
        <w:widowControl/>
        <w:spacing w:after="60"/>
        <w:ind w:left="403" w:hanging="230"/>
      </w:pPr>
      <w:r>
        <w:t>Tempo de venda para entidades e grandes empresas.</w:t>
      </w:r>
    </w:p>
    <w:p>
      <w:pPr>
        <w:pStyle w:val="ListBullet"/>
        <w:widowControl/>
        <w:spacing w:after="60"/>
        <w:ind w:left="403" w:hanging="230"/>
      </w:pPr>
      <w:r>
        <w:t>Custo de implantação por ambiente parceiro.</w:t>
      </w:r>
    </w:p>
    <w:p>
      <w:pPr>
        <w:pStyle w:val="ListBullet"/>
        <w:widowControl/>
        <w:spacing w:after="60"/>
        <w:ind w:left="403" w:hanging="230"/>
      </w:pPr>
      <w:r>
        <w:t>Margem de consultoria versus margem de software.</w:t>
      </w:r>
    </w:p>
    <w:p>
      <w:pPr>
        <w:pStyle w:val="ListBullet"/>
        <w:widowControl/>
        <w:spacing w:after="60"/>
        <w:ind w:left="403" w:hanging="230"/>
      </w:pPr>
      <w:r>
        <w:t>Taxa de ativação e renovação das associadas.</w:t>
      </w:r>
    </w:p>
    <w:p>
      <w:pPr>
        <w:pStyle w:val="ListBullet"/>
        <w:widowControl/>
        <w:spacing w:after="60"/>
        <w:ind w:left="403" w:hanging="230"/>
      </w:pPr>
      <w:r>
        <w:t>Volume mínimo que sustenta marketplace e matching.</w:t>
      </w:r>
    </w:p>
    <w:p>
      <w:pPr>
        <w:pStyle w:val="ListBullet"/>
        <w:widowControl/>
        <w:spacing w:after="60"/>
        <w:ind w:left="403" w:hanging="230"/>
      </w:pPr>
      <w:r>
        <w:t>Preço e custo de auditoria do selo.</w:t>
      </w:r>
    </w:p>
    <w:p>
      <w:pPr>
        <w:pStyle w:val="ListBullet"/>
        <w:widowControl/>
        <w:spacing w:after="60"/>
        <w:ind w:left="403" w:hanging="230"/>
      </w:pPr>
      <w:r>
        <w:t>Regras tributárias e de repasse entre unidades.</w:t>
      </w:r>
    </w:p>
    <w:p>
      <w:pPr>
        <w:pStyle w:val="Heading1"/>
        <w:widowControl/>
      </w:pPr>
      <w:r>
        <w:t>9. Operação e governança</w:t>
      </w:r>
    </w:p>
    <w:p>
      <w:pPr>
        <w:pStyle w:val="Heading2"/>
        <w:widowControl/>
      </w:pPr>
      <w:r>
        <w:t>9.1 Estrutura mínima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76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6840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Responsabilidades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Direção do grupo</w:t>
            </w:r>
          </w:p>
        </w:tc>
        <w:tc>
          <w:tcPr>
            <w:tcW w:type="dxa" w:w="68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Tese, relações estratégicas, capital, marca e prioridades.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Produto e tecnologia</w:t>
            </w:r>
          </w:p>
        </w:tc>
        <w:tc>
          <w:tcPr>
            <w:tcW w:type="dxa" w:w="68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Roadmap, UX, dados, integrações, segurança e fornecedores técnicos.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Ecossistemas e sucesso</w:t>
            </w:r>
          </w:p>
        </w:tc>
        <w:tc>
          <w:tcPr>
            <w:tcW w:type="dxa" w:w="68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Implantação, relacionamento com entidades, adesão e retenção.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Metodologia e selo</w:t>
            </w:r>
          </w:p>
        </w:tc>
        <w:tc>
          <w:tcPr>
            <w:tcW w:type="dxa" w:w="68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Diagnóstico, indicadores, evidências, comitê e qualidade.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Curadoria e marketplace</w:t>
            </w:r>
          </w:p>
        </w:tc>
        <w:tc>
          <w:tcPr>
            <w:tcW w:type="dxa" w:w="68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Entrada, validação, categorias, demanda e avaliação de soluções.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Mídia e experiências</w:t>
            </w:r>
          </w:p>
        </w:tc>
        <w:tc>
          <w:tcPr>
            <w:tcW w:type="dxa" w:w="68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Conteúdo, eventos, patrocínios e produtos proprietários.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Impacto e Instituto</w:t>
            </w:r>
          </w:p>
        </w:tc>
        <w:tc>
          <w:tcPr>
            <w:tcW w:type="dxa" w:w="68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Captação, projetos, prestação de contas e mensuração social.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Operações e finanças</w:t>
            </w:r>
          </w:p>
        </w:tc>
        <w:tc>
          <w:tcPr>
            <w:tcW w:type="dxa" w:w="68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Contratos, jurídico, LGPD, compras, faturamento e controles.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9.2 Fóruns de decisão</w:t>
      </w:r>
    </w:p>
    <w:p>
      <w:pPr>
        <w:pStyle w:val="ListBullet"/>
        <w:widowControl/>
        <w:spacing w:after="60"/>
        <w:ind w:left="403" w:hanging="230"/>
      </w:pPr>
      <w:r>
        <w:t>Conselho estratégico do grupo: direção, portfólio, riscos e expansão.</w:t>
      </w:r>
    </w:p>
    <w:p>
      <w:pPr>
        <w:pStyle w:val="ListBullet"/>
        <w:widowControl/>
        <w:spacing w:after="60"/>
        <w:ind w:left="403" w:hanging="230"/>
      </w:pPr>
      <w:r>
        <w:t>Comitê de produto e dados: roadmap, qualidade, segurança e integrações.</w:t>
      </w:r>
    </w:p>
    <w:p>
      <w:pPr>
        <w:pStyle w:val="ListBullet"/>
        <w:widowControl/>
        <w:spacing w:after="60"/>
        <w:ind w:left="403" w:hanging="230"/>
      </w:pPr>
      <w:r>
        <w:t>Comitê técnico do selo: critérios, casos limítrofes, recursos e integridade.</w:t>
      </w:r>
    </w:p>
    <w:p>
      <w:pPr>
        <w:pStyle w:val="ListBullet"/>
        <w:widowControl/>
        <w:spacing w:after="60"/>
        <w:ind w:left="403" w:hanging="230"/>
      </w:pPr>
      <w:r>
        <w:t>Governança própria do Instituto: finalidade pública, captação e prestação de contas.</w:t>
      </w:r>
    </w:p>
    <w:p>
      <w:pPr>
        <w:pStyle w:val="ListBullet"/>
        <w:widowControl/>
        <w:spacing w:after="60"/>
        <w:ind w:left="403" w:hanging="230"/>
      </w:pPr>
      <w:r>
        <w:t>Ritual trimestral de portfólio: manter, melhorar, escalar, pausar ou encerrar.</w:t>
      </w:r>
    </w:p>
    <w:p>
      <w:pPr>
        <w:pStyle w:val="Heading2"/>
        <w:widowControl/>
      </w:pPr>
      <w:r>
        <w:t>9.3 Indicadores essenciais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88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7128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Indicadores iniciais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Negócio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Receita recorrente, pipeline, renovação, margem e receita por linha.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Plataforma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Ativação, usuários ativos, conclusão de diagnóstico e uso por módulo.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Conexões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Matches, reuniões, propostas, contratações e valor movimentado.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Evolução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Planos ativos, ações concluídas, avanço por dimensão e evidências.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Ecossistema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Organizações aderentes, diversidade da oferta e satisfação.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Impacto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Empregos, renda, spend, acesso, desenvolvimento e beneficiários.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10. Produto e tecnologia</w:t>
      </w:r>
    </w:p>
    <w:p>
      <w:pPr>
        <w:pStyle w:val="Heading2"/>
        <w:widowControl/>
      </w:pPr>
      <w:r>
        <w:t>10.1 MVP recomendado</w:t>
      </w:r>
    </w:p>
    <w:p>
      <w:pPr>
        <w:pStyle w:val="Callout"/>
        <w:widowControl/>
      </w:pPr>
      <w:r>
        <w:t>O MVP deve provar a jornada completa de uma organização, não tentar entregar todo o marketplace nacional.</w:t>
      </w:r>
    </w:p>
    <w:p>
      <w:pPr>
        <w:pStyle w:val="ListBullet"/>
        <w:widowControl/>
        <w:spacing w:after="60"/>
        <w:ind w:left="403" w:hanging="230"/>
      </w:pPr>
      <w:r>
        <w:t>Autenticação e perfis básicos.</w:t>
      </w:r>
    </w:p>
    <w:p>
      <w:pPr>
        <w:pStyle w:val="ListBullet"/>
        <w:widowControl/>
        <w:spacing w:after="60"/>
        <w:ind w:left="403" w:hanging="230"/>
      </w:pPr>
      <w:r>
        <w:t>Cadastro de entidade, empresa, fornecedor, talento e especialista.</w:t>
      </w:r>
    </w:p>
    <w:p>
      <w:pPr>
        <w:pStyle w:val="ListBullet"/>
        <w:widowControl/>
        <w:spacing w:after="60"/>
        <w:ind w:left="403" w:hanging="230"/>
      </w:pPr>
      <w:r>
        <w:t>Diagnóstico configurável com evidências.</w:t>
      </w:r>
    </w:p>
    <w:p>
      <w:pPr>
        <w:pStyle w:val="ListBullet"/>
        <w:widowControl/>
        <w:spacing w:after="60"/>
        <w:ind w:left="403" w:hanging="230"/>
      </w:pPr>
      <w:r>
        <w:t>Resultado de maturidade e plano de evolução.</w:t>
      </w:r>
    </w:p>
    <w:p>
      <w:pPr>
        <w:pStyle w:val="ListBullet"/>
        <w:widowControl/>
        <w:spacing w:after="60"/>
        <w:ind w:left="403" w:hanging="230"/>
      </w:pPr>
      <w:r>
        <w:t>Catálogo curado de soluções e fornecedores.</w:t>
      </w:r>
    </w:p>
    <w:p>
      <w:pPr>
        <w:pStyle w:val="ListBullet"/>
        <w:widowControl/>
        <w:spacing w:after="60"/>
        <w:ind w:left="403" w:hanging="230"/>
      </w:pPr>
      <w:r>
        <w:t>Matching inicialmente assistido por regras e curadoria humana.</w:t>
      </w:r>
    </w:p>
    <w:p>
      <w:pPr>
        <w:pStyle w:val="ListBullet"/>
        <w:widowControl/>
        <w:spacing w:after="60"/>
        <w:ind w:left="403" w:hanging="230"/>
      </w:pPr>
      <w:r>
        <w:t>Painel da organização e painel agregado da entidade.</w:t>
      </w:r>
    </w:p>
    <w:p>
      <w:pPr>
        <w:pStyle w:val="ListBullet"/>
        <w:widowControl/>
        <w:spacing w:after="60"/>
        <w:ind w:left="403" w:hanging="230"/>
      </w:pPr>
      <w:r>
        <w:t>Fluxo administrativo para revisão, suporte e exportação de relatório.</w:t>
      </w:r>
    </w:p>
    <w:p>
      <w:pPr>
        <w:pStyle w:val="ListBullet"/>
        <w:widowControl/>
        <w:spacing w:after="60"/>
        <w:ind w:left="403" w:hanging="230"/>
      </w:pPr>
      <w:r>
        <w:t>Trilhas e conteúdos vinculados às lacunas.</w:t>
      </w:r>
    </w:p>
    <w:p>
      <w:pPr>
        <w:pStyle w:val="ListBullet"/>
        <w:widowControl/>
        <w:spacing w:after="60"/>
        <w:ind w:left="403" w:hanging="230"/>
      </w:pPr>
      <w:r>
        <w:t>Base para avaliação do selo, sem automação complexa de auditoria.</w:t>
      </w:r>
    </w:p>
    <w:p>
      <w:pPr>
        <w:pStyle w:val="Heading2"/>
        <w:widowControl/>
      </w:pPr>
      <w:r>
        <w:t>10.2 Fora do MVP</w:t>
      </w:r>
    </w:p>
    <w:p>
      <w:pPr>
        <w:pStyle w:val="ListBullet"/>
        <w:widowControl/>
        <w:spacing w:after="60"/>
        <w:ind w:left="403" w:hanging="230"/>
      </w:pPr>
      <w:r>
        <w:t>IA generativa autônoma decidindo recomendações ou selo.</w:t>
      </w:r>
    </w:p>
    <w:p>
      <w:pPr>
        <w:pStyle w:val="ListBullet"/>
        <w:widowControl/>
        <w:spacing w:after="60"/>
        <w:ind w:left="403" w:hanging="230"/>
      </w:pPr>
      <w:r>
        <w:t>Marketplace financeiro completo com split de pagamentos.</w:t>
      </w:r>
    </w:p>
    <w:p>
      <w:pPr>
        <w:pStyle w:val="ListBullet"/>
        <w:widowControl/>
        <w:spacing w:after="60"/>
        <w:ind w:left="403" w:hanging="230"/>
      </w:pPr>
      <w:r>
        <w:t>Integrações profundas com múltiplos ERPs e ATS.</w:t>
      </w:r>
    </w:p>
    <w:p>
      <w:pPr>
        <w:pStyle w:val="ListBullet"/>
        <w:widowControl/>
        <w:spacing w:after="60"/>
        <w:ind w:left="403" w:hanging="230"/>
      </w:pPr>
      <w:r>
        <w:t>Benchmark público sem massa crítica e governança de dados.</w:t>
      </w:r>
    </w:p>
    <w:p>
      <w:pPr>
        <w:pStyle w:val="ListBullet"/>
        <w:widowControl/>
        <w:spacing w:after="60"/>
        <w:ind w:left="403" w:hanging="230"/>
      </w:pPr>
      <w:r>
        <w:t>Aplicativo móvel nativo.</w:t>
      </w:r>
    </w:p>
    <w:p>
      <w:pPr>
        <w:pStyle w:val="ListBullet"/>
        <w:widowControl/>
        <w:spacing w:after="60"/>
        <w:ind w:left="403" w:hanging="230"/>
      </w:pPr>
      <w:r>
        <w:t>Expansão internacional.</w:t>
      </w:r>
    </w:p>
    <w:p>
      <w:pPr>
        <w:pStyle w:val="ListBullet"/>
        <w:widowControl/>
        <w:spacing w:after="60"/>
        <w:ind w:left="403" w:hanging="230"/>
      </w:pPr>
      <w:r>
        <w:t>Auditoria totalmente automatizada.</w:t>
      </w:r>
    </w:p>
    <w:p>
      <w:pPr>
        <w:pStyle w:val="Heading2"/>
        <w:widowControl/>
      </w:pPr>
      <w:r>
        <w:t>10.3 Princípios de dados e IA</w:t>
      </w:r>
    </w:p>
    <w:p>
      <w:pPr>
        <w:pStyle w:val="ListBullet"/>
        <w:widowControl/>
        <w:spacing w:after="60"/>
        <w:ind w:left="403" w:hanging="230"/>
      </w:pPr>
      <w:r>
        <w:t>Finalidade, consentimento e minimização desde o desenho.</w:t>
      </w:r>
    </w:p>
    <w:p>
      <w:pPr>
        <w:pStyle w:val="ListBullet"/>
        <w:widowControl/>
        <w:spacing w:after="60"/>
        <w:ind w:left="403" w:hanging="230"/>
      </w:pPr>
      <w:r>
        <w:t>Separação entre dados identificáveis, dados de operação e dados agregados.</w:t>
      </w:r>
    </w:p>
    <w:p>
      <w:pPr>
        <w:pStyle w:val="ListBullet"/>
        <w:widowControl/>
        <w:spacing w:after="60"/>
        <w:ind w:left="403" w:hanging="230"/>
      </w:pPr>
      <w:r>
        <w:t>Controle de acesso por papel e por ecossistema.</w:t>
      </w:r>
    </w:p>
    <w:p>
      <w:pPr>
        <w:pStyle w:val="ListBullet"/>
        <w:widowControl/>
        <w:spacing w:after="60"/>
        <w:ind w:left="403" w:hanging="230"/>
      </w:pPr>
      <w:r>
        <w:t>Explicabilidade para recomendações, scores e matching.</w:t>
      </w:r>
    </w:p>
    <w:p>
      <w:pPr>
        <w:pStyle w:val="ListBullet"/>
        <w:widowControl/>
        <w:spacing w:after="60"/>
        <w:ind w:left="403" w:hanging="230"/>
      </w:pPr>
      <w:r>
        <w:t>Revisão humana em decisões de alto impacto.</w:t>
      </w:r>
    </w:p>
    <w:p>
      <w:pPr>
        <w:pStyle w:val="ListBullet"/>
        <w:widowControl/>
        <w:spacing w:after="60"/>
        <w:ind w:left="403" w:hanging="230"/>
      </w:pPr>
      <w:r>
        <w:t>Testes de viés, qualidade e representatividade.</w:t>
      </w:r>
    </w:p>
    <w:p>
      <w:pPr>
        <w:pStyle w:val="ListBullet"/>
        <w:widowControl/>
        <w:spacing w:after="60"/>
        <w:ind w:left="403" w:hanging="230"/>
      </w:pPr>
      <w:r>
        <w:t>Políticas de retenção, exclusão, incidentes e portabilidade.</w:t>
      </w:r>
    </w:p>
    <w:p>
      <w:pPr>
        <w:pStyle w:val="Heading1"/>
        <w:widowControl/>
      </w:pPr>
      <w:r>
        <w:t>11. Marca e narrativa</w:t>
      </w:r>
    </w:p>
    <w:p>
      <w:pPr>
        <w:pStyle w:val="Heading2"/>
        <w:widowControl/>
      </w:pPr>
      <w:r>
        <w:t>11.1 Arquitetura verbal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6624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HUB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Marca-mãe e assinatura institucional.</w:t>
            </w:r>
          </w:p>
        </w:tc>
      </w:tr>
      <w:t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Plataforma HUB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Infraestrutura tecnológica e metodológica.</w:t>
            </w:r>
          </w:p>
        </w:tc>
      </w:tr>
      <w:t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Powered by HUB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Endosso em ambientes personalizados.</w:t>
            </w:r>
          </w:p>
        </w:tc>
      </w:tr>
      <w:t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Hub de Oportunidades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Experiência Sebrae.</w:t>
            </w:r>
          </w:p>
        </w:tc>
      </w:tr>
      <w:t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Laboratório do Futuro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Experiência Firjan.</w:t>
            </w:r>
          </w:p>
        </w:tc>
      </w:tr>
      <w:tr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DiverseMatch / Festivalzinho</w:t>
            </w:r>
          </w:p>
        </w:tc>
        <w:tc>
          <w:tcPr>
            <w:tcW w:type="dxa" w:w="66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Produtos proprietários da marca.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11.2 Mensagens essenciais</w:t>
      </w:r>
    </w:p>
    <w:p>
      <w:pPr>
        <w:pStyle w:val="ListBullet"/>
        <w:widowControl/>
        <w:spacing w:after="60"/>
        <w:ind w:left="403" w:hanging="230"/>
      </w:pPr>
      <w:r>
        <w:t>Diferenças que movimentam negócios.</w:t>
      </w:r>
    </w:p>
    <w:p>
      <w:pPr>
        <w:pStyle w:val="ListBullet"/>
        <w:widowControl/>
        <w:spacing w:after="60"/>
        <w:ind w:left="403" w:hanging="230"/>
      </w:pPr>
      <w:r>
        <w:t>A HUB transforma diferenças em inteligência, conexão e resultado.</w:t>
      </w:r>
    </w:p>
    <w:p>
      <w:pPr>
        <w:pStyle w:val="ListBullet"/>
        <w:widowControl/>
        <w:spacing w:after="60"/>
        <w:ind w:left="403" w:hanging="230"/>
      </w:pPr>
      <w:r>
        <w:t>Identificamos onde a organização está, mostramos aonde pode chegar e conectamos tudo de que precisa para avançar.</w:t>
      </w:r>
    </w:p>
    <w:p>
      <w:pPr>
        <w:pStyle w:val="ListBullet"/>
        <w:widowControl/>
        <w:spacing w:after="60"/>
        <w:ind w:left="403" w:hanging="230"/>
      </w:pPr>
      <w:r>
        <w:t>Diversidade não é um processo à parte; é parte de todos os processos.</w:t>
      </w:r>
    </w:p>
    <w:p>
      <w:pPr>
        <w:pStyle w:val="ListBullet"/>
        <w:widowControl/>
        <w:spacing w:after="60"/>
        <w:ind w:left="403" w:hanging="230"/>
      </w:pPr>
      <w:r>
        <w:t>Conexão é produto. Evidência é compromisso. Evolução é resultado.</w:t>
      </w:r>
    </w:p>
    <w:p>
      <w:pPr>
        <w:pStyle w:val="Heading2"/>
        <w:widowControl/>
      </w:pPr>
      <w:r>
        <w:t>11.3 Cuidados de linguagem</w:t>
      </w:r>
    </w:p>
    <w:p>
      <w:pPr>
        <w:pStyle w:val="ListBullet"/>
        <w:widowControl/>
        <w:spacing w:after="60"/>
        <w:ind w:left="403" w:hanging="230"/>
      </w:pPr>
      <w:r>
        <w:t>Não esconder diversidade; traduzir seu valor para o negócio.</w:t>
      </w:r>
    </w:p>
    <w:p>
      <w:pPr>
        <w:pStyle w:val="ListBullet"/>
        <w:widowControl/>
        <w:spacing w:after="60"/>
        <w:ind w:left="403" w:hanging="230"/>
      </w:pPr>
      <w:r>
        <w:t>Evitar prometer transformação apenas por adesão ou certificação.</w:t>
      </w:r>
    </w:p>
    <w:p>
      <w:pPr>
        <w:pStyle w:val="ListBullet"/>
        <w:widowControl/>
        <w:spacing w:after="60"/>
        <w:ind w:left="403" w:hanging="230"/>
      </w:pPr>
      <w:r>
        <w:t>Não usar pessoas e comunidades como decoração narrativa.</w:t>
      </w:r>
    </w:p>
    <w:p>
      <w:pPr>
        <w:pStyle w:val="ListBullet"/>
        <w:widowControl/>
        <w:spacing w:after="60"/>
        <w:ind w:left="403" w:hanging="230"/>
      </w:pPr>
      <w:r>
        <w:t>Distinguir impacto comprovado, resultado parcial e ambição futura.</w:t>
      </w:r>
    </w:p>
    <w:p>
      <w:pPr>
        <w:pStyle w:val="ListBullet"/>
        <w:widowControl/>
        <w:spacing w:after="60"/>
        <w:ind w:left="403" w:hanging="230"/>
      </w:pPr>
      <w:r>
        <w:t>Adequar a promessa ao parceiro sem fragmentar a metodologia central.</w:t>
      </w:r>
    </w:p>
    <w:p>
      <w:pPr>
        <w:pStyle w:val="Heading1"/>
        <w:widowControl/>
      </w:pPr>
      <w:r>
        <w:t>12. Impacto e teoria da mudança</w:t>
      </w:r>
    </w:p>
    <w:p>
      <w:pPr>
        <w:widowControl/>
      </w:pPr>
      <w:r>
        <w:t>Se organizações compreendem suas lacunas, recebem caminhos viáveis, acessam atores qualificados e são responsabilizadas por evidências, então diferenças deixam de ser tratadas como agenda periférica e passam a melhorar decisões, oportunidades, produtos, cadeias e resultados.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7272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Exemplos</w:t>
            </w:r>
          </w:p>
        </w:tc>
      </w:tr>
      <w:t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Recursos</w:t>
            </w:r>
          </w:p>
        </w:tc>
        <w:tc>
          <w:tcPr>
            <w:tcW w:type="dxa" w:w="72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Tecnologia, metodologia, curadoria, parceiros, dados e financiamento.</w:t>
            </w:r>
          </w:p>
        </w:tc>
      </w:tr>
      <w:t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Atividades</w:t>
            </w:r>
          </w:p>
        </w:tc>
        <w:tc>
          <w:tcPr>
            <w:tcW w:type="dxa" w:w="72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Diagnóstico, formação, matching, implementação, avaliação e reconhecimento.</w:t>
            </w:r>
          </w:p>
        </w:tc>
      </w:tr>
      <w:t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Entregas</w:t>
            </w:r>
          </w:p>
        </w:tc>
        <w:tc>
          <w:tcPr>
            <w:tcW w:type="dxa" w:w="72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Planos, conexões, contratos, trilhas, políticas, indicadores e selos.</w:t>
            </w:r>
          </w:p>
        </w:tc>
      </w:tr>
      <w:t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Resultados</w:t>
            </w:r>
          </w:p>
        </w:tc>
        <w:tc>
          <w:tcPr>
            <w:tcW w:type="dxa" w:w="72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Maior prontidão, contratação, mobilidade, acessibilidade e maturidade.</w:t>
            </w:r>
          </w:p>
        </w:tc>
      </w:tr>
      <w:tr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Impacto</w:t>
            </w:r>
          </w:p>
        </w:tc>
        <w:tc>
          <w:tcPr>
            <w:tcW w:type="dxa" w:w="72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Negócios mais representativos, competitivos e capazes de gerar oportunidades.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13. Roadmap de implantação</w:t>
      </w:r>
    </w:p>
    <w:p>
      <w:pPr>
        <w:pStyle w:val="Heading2"/>
        <w:widowControl/>
      </w:pPr>
      <w:r>
        <w:t>13.1 Primeiros 90 dias</w:t>
      </w:r>
    </w:p>
    <w:p>
      <w:pPr>
        <w:pStyle w:val="ListNumber"/>
        <w:widowControl/>
        <w:spacing w:after="80"/>
        <w:ind w:left="432" w:hanging="259"/>
      </w:pPr>
      <w:r>
        <w:t>Fechar nomenclatura, arquitetura de marca e narrativa institucional.</w:t>
      </w:r>
    </w:p>
    <w:p>
      <w:pPr>
        <w:pStyle w:val="ListNumber"/>
        <w:widowControl/>
        <w:spacing w:after="80"/>
        <w:ind w:left="432" w:hanging="259"/>
      </w:pPr>
      <w:r>
        <w:t>Definir entidade jurídica detentora da plataforma, marca e metodologia, com validação especializada.</w:t>
      </w:r>
    </w:p>
    <w:p>
      <w:pPr>
        <w:pStyle w:val="ListNumber"/>
        <w:widowControl/>
        <w:spacing w:after="80"/>
        <w:ind w:left="432" w:hanging="259"/>
      </w:pPr>
      <w:r>
        <w:t>Escolher um caso de uso prioritário e uma entidade-piloto.</w:t>
      </w:r>
    </w:p>
    <w:p>
      <w:pPr>
        <w:pStyle w:val="ListNumber"/>
        <w:widowControl/>
        <w:spacing w:after="80"/>
        <w:ind w:left="432" w:hanging="259"/>
      </w:pPr>
      <w:r>
        <w:t>Transformar o diagnóstico em instrumento mínimo, com oito dimensões e evidências básicas.</w:t>
      </w:r>
    </w:p>
    <w:p>
      <w:pPr>
        <w:pStyle w:val="ListNumber"/>
        <w:widowControl/>
        <w:spacing w:after="80"/>
        <w:ind w:left="432" w:hanging="259"/>
      </w:pPr>
      <w:r>
        <w:t>Definir jornada, papéis, dados e fluxos do MVP.</w:t>
      </w:r>
    </w:p>
    <w:p>
      <w:pPr>
        <w:pStyle w:val="ListNumber"/>
        <w:widowControl/>
        <w:spacing w:after="80"/>
        <w:ind w:left="432" w:hanging="259"/>
      </w:pPr>
      <w:r>
        <w:t>Validar modelo comercial com entrevistas e propostas reais.</w:t>
      </w:r>
    </w:p>
    <w:p>
      <w:pPr>
        <w:pStyle w:val="ListNumber"/>
        <w:widowControl/>
        <w:spacing w:after="80"/>
        <w:ind w:left="432" w:hanging="259"/>
      </w:pPr>
      <w:r>
        <w:t>Estruturar regulamento preliminar do selo e comitê técnico.</w:t>
      </w:r>
    </w:p>
    <w:p>
      <w:pPr>
        <w:pStyle w:val="ListNumber"/>
        <w:widowControl/>
        <w:spacing w:after="80"/>
        <w:ind w:left="432" w:hanging="259"/>
      </w:pPr>
      <w:r>
        <w:t>Mapear fornecedores de tecnologia e decidir construir, integrar ou adaptar.</w:t>
      </w:r>
    </w:p>
    <w:p>
      <w:pPr>
        <w:pStyle w:val="ListNumber"/>
        <w:widowControl/>
        <w:spacing w:after="80"/>
        <w:ind w:left="432" w:hanging="259"/>
      </w:pPr>
      <w:r>
        <w:t>Criar baseline de indicadores e modelo de relatório.</w:t>
      </w:r>
    </w:p>
    <w:p>
      <w:pPr>
        <w:pStyle w:val="ListNumber"/>
        <w:widowControl/>
        <w:spacing w:after="80"/>
        <w:ind w:left="432" w:hanging="259"/>
      </w:pPr>
      <w:r>
        <w:t>Formalizar governança inicial entre HUB Negócios e Instituto.</w:t>
      </w:r>
    </w:p>
    <w:p>
      <w:pPr>
        <w:pStyle w:val="Heading2"/>
        <w:widowControl/>
      </w:pPr>
      <w:r>
        <w:t>13.2 Horizonte de três anos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656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3672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4032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Marco de saída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0–6 meses</w:t>
            </w:r>
          </w:p>
        </w:tc>
        <w:tc>
          <w:tcPr>
            <w:tcW w:type="dxa" w:w="36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Validar tese, jornada e piloto.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Primeiro ecossistema operando e primeira receita recorrente.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6–12 meses</w:t>
            </w:r>
          </w:p>
        </w:tc>
        <w:tc>
          <w:tcPr>
            <w:tcW w:type="dxa" w:w="36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Consolidar MVP e método do selo.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Renovação do piloto, novos clientes e evidências de resultado.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Ano 2</w:t>
            </w:r>
          </w:p>
        </w:tc>
        <w:tc>
          <w:tcPr>
            <w:tcW w:type="dxa" w:w="36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Replicar por setor e entidade.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Modelo de implantação padronizado e dados comparáveis.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Ano 3</w:t>
            </w:r>
          </w:p>
        </w:tc>
        <w:tc>
          <w:tcPr>
            <w:tcW w:type="dxa" w:w="36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Escala nacional e unidade tecnológica.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Receita tecnológica relevante, governança madura e expansão.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13.3 Critérios para priorizar iniciativas</w:t>
      </w:r>
    </w:p>
    <w:p>
      <w:pPr>
        <w:pStyle w:val="ListBullet"/>
        <w:widowControl/>
        <w:spacing w:after="60"/>
        <w:ind w:left="403" w:hanging="230"/>
      </w:pPr>
      <w:r>
        <w:t>Resolve dor clara e já reconhecida pelo comprador.</w:t>
      </w:r>
    </w:p>
    <w:p>
      <w:pPr>
        <w:pStyle w:val="ListBullet"/>
        <w:widowControl/>
        <w:spacing w:after="60"/>
        <w:ind w:left="403" w:hanging="230"/>
      </w:pPr>
      <w:r>
        <w:t>Pode gerar receita ou evidência em até doze meses.</w:t>
      </w:r>
    </w:p>
    <w:p>
      <w:pPr>
        <w:pStyle w:val="ListBullet"/>
        <w:widowControl/>
        <w:spacing w:after="60"/>
        <w:ind w:left="403" w:hanging="230"/>
      </w:pPr>
      <w:r>
        <w:t>Reutiliza módulos e dados da plataforma central.</w:t>
      </w:r>
    </w:p>
    <w:p>
      <w:pPr>
        <w:pStyle w:val="ListBullet"/>
        <w:widowControl/>
        <w:spacing w:after="60"/>
        <w:ind w:left="403" w:hanging="230"/>
      </w:pPr>
      <w:r>
        <w:t>Fortalece a tese e não fragmenta a marca.</w:t>
      </w:r>
    </w:p>
    <w:p>
      <w:pPr>
        <w:pStyle w:val="ListBullet"/>
        <w:widowControl/>
        <w:spacing w:after="60"/>
        <w:ind w:left="403" w:hanging="230"/>
      </w:pPr>
      <w:r>
        <w:t>Tem responsável, capacidade operacional e indicador de sucesso.</w:t>
      </w:r>
    </w:p>
    <w:p>
      <w:pPr>
        <w:pStyle w:val="ListBullet"/>
        <w:widowControl/>
        <w:spacing w:after="60"/>
        <w:ind w:left="403" w:hanging="230"/>
      </w:pPr>
      <w:r>
        <w:t>Não cria risco jurídico, reputacional ou de dados desproporcional.</w:t>
      </w:r>
    </w:p>
    <w:p>
      <w:pPr>
        <w:pStyle w:val="Heading1"/>
        <w:widowControl/>
      </w:pPr>
      <w:r>
        <w:t>14. Riscos e respostas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6336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Resposta de desenho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Escopo amplo demais</w:t>
            </w:r>
          </w:p>
        </w:tc>
        <w:tc>
          <w:tcPr>
            <w:tcW w:type="dxa" w:w="633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Começar por uma jornada completa e um caso de uso prioritário.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Confusão entre empresa e Instituto</w:t>
            </w:r>
          </w:p>
        </w:tc>
        <w:tc>
          <w:tcPr>
            <w:tcW w:type="dxa" w:w="633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Separação jurídica, financeira, contratual e de governança.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Selo percebido como comprado</w:t>
            </w:r>
          </w:p>
        </w:tc>
        <w:tc>
          <w:tcPr>
            <w:tcW w:type="dxa" w:w="633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Critérios públicos, evidências, instância independente e sanções.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Marketplace sem demanda</w:t>
            </w:r>
          </w:p>
        </w:tc>
        <w:tc>
          <w:tcPr>
            <w:tcW w:type="dxa" w:w="633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Começar por demandas reais de entidades e empresas âncora.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Bases duplicadas ou desatualizadas</w:t>
            </w:r>
          </w:p>
        </w:tc>
        <w:tc>
          <w:tcPr>
            <w:tcW w:type="dxa" w:w="633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Integração progressiva, enriquecimento e responsabilidade de atualização.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Uso inadequado de dados sensíveis</w:t>
            </w:r>
          </w:p>
        </w:tc>
        <w:tc>
          <w:tcPr>
            <w:tcW w:type="dxa" w:w="633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LGPD by design, minimização, acesso por papel e revisão jurídica.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Customização excessiva por parceiro</w:t>
            </w:r>
          </w:p>
        </w:tc>
        <w:tc>
          <w:tcPr>
            <w:tcW w:type="dxa" w:w="633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Núcleo comum obrigatório e módulos configuráveis.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Dependência da imagem da fundadora</w:t>
            </w:r>
          </w:p>
        </w:tc>
        <w:tc>
          <w:tcPr>
            <w:tcW w:type="dxa" w:w="633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Construir marca, método, equipe, conselho e prova institucional.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15. Decisões fechadas e decisões pendentes</w:t>
      </w:r>
    </w:p>
    <w:p>
      <w:pPr>
        <w:pStyle w:val="Heading2"/>
        <w:widowControl/>
      </w:pPr>
      <w:r>
        <w:t>15.1 Decisões já tomadas</w:t>
      </w:r>
    </w:p>
    <w:p>
      <w:pPr>
        <w:pStyle w:val="ListBullet"/>
        <w:widowControl/>
        <w:spacing w:after="60"/>
        <w:ind w:left="403" w:hanging="230"/>
      </w:pPr>
      <w:r>
        <w:t>Modelo híbrido: rede nacional própria + ambientes personalizados.</w:t>
      </w:r>
    </w:p>
    <w:p>
      <w:pPr>
        <w:pStyle w:val="ListBullet"/>
        <w:widowControl/>
        <w:spacing w:after="60"/>
        <w:ind w:left="403" w:hanging="230"/>
      </w:pPr>
      <w:r>
        <w:t>Produto principal: assinatura completa e contínua.</w:t>
      </w:r>
    </w:p>
    <w:p>
      <w:pPr>
        <w:pStyle w:val="ListBullet"/>
        <w:widowControl/>
        <w:spacing w:after="60"/>
        <w:ind w:left="403" w:hanging="230"/>
      </w:pPr>
      <w:r>
        <w:t>Promessa: transformar diferenças em resultado.</w:t>
      </w:r>
    </w:p>
    <w:p>
      <w:pPr>
        <w:pStyle w:val="ListBullet"/>
        <w:widowControl/>
        <w:spacing w:after="60"/>
        <w:ind w:left="403" w:hanging="230"/>
      </w:pPr>
      <w:r>
        <w:t>Grupo de impacto com unidades juridicamente separadas.</w:t>
      </w:r>
    </w:p>
    <w:p>
      <w:pPr>
        <w:pStyle w:val="ListBullet"/>
        <w:widowControl/>
        <w:spacing w:after="60"/>
        <w:ind w:left="403" w:hanging="230"/>
      </w:pPr>
      <w:r>
        <w:t>Plataforma como infraestrutura dos Ecossistemas Empresariais.</w:t>
      </w:r>
    </w:p>
    <w:p>
      <w:pPr>
        <w:pStyle w:val="ListBullet"/>
        <w:widowControl/>
        <w:spacing w:after="60"/>
        <w:ind w:left="403" w:hanging="230"/>
      </w:pPr>
      <w:r>
        <w:t>Método C.A.O.S. com Arquitetura.</w:t>
      </w:r>
    </w:p>
    <w:p>
      <w:pPr>
        <w:pStyle w:val="ListBullet"/>
        <w:widowControl/>
        <w:spacing w:after="60"/>
        <w:ind w:left="403" w:hanging="230"/>
      </w:pPr>
      <w:r>
        <w:t>Selo baseado em jornada, evidências e evolução.</w:t>
      </w:r>
    </w:p>
    <w:p>
      <w:pPr>
        <w:pStyle w:val="ListBullet"/>
        <w:widowControl/>
        <w:spacing w:after="60"/>
        <w:ind w:left="403" w:hanging="230"/>
      </w:pPr>
      <w:r>
        <w:t>Sebrae e Firjan como aplicações da mesma plataforma central.</w:t>
      </w:r>
    </w:p>
    <w:p>
      <w:pPr>
        <w:pStyle w:val="Heading2"/>
        <w:widowControl/>
      </w:pPr>
      <w:r>
        <w:t>15.2 Decisões para a próxima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888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1872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Prazo sugerido</w:t>
            </w:r>
          </w:p>
        </w:tc>
        <w:tc>
          <w:tcPr>
            <w:tcW w:type="dxa" w:w="3456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Responsáveis</w:t>
            </w:r>
          </w:p>
        </w:tc>
      </w:tr>
      <w:tr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Nome definitivo do Instituto e arquitetura jurídica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30 dias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Direção + jurídico/contábil</w:t>
            </w:r>
          </w:p>
        </w:tc>
      </w:tr>
      <w:tr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Entidade-piloto e caso de uso inicial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30 dias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Direção comercial</w:t>
            </w:r>
          </w:p>
        </w:tc>
      </w:tr>
      <w:tr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Critérios mínimos e pesos do diagnóstico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45 dias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Metodologia + comitê</w:t>
            </w:r>
          </w:p>
        </w:tc>
      </w:tr>
      <w:tr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Modelo comercial e faixa de preço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45 dias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Direção + finanças</w:t>
            </w:r>
          </w:p>
        </w:tc>
      </w:tr>
      <w:tr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Arquitetura técnica do MVP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60 dias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Produto + tecnologia</w:t>
            </w:r>
          </w:p>
        </w:tc>
      </w:tr>
      <w:tr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Regulamento inicial do selo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75 dias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Metodologia + jurídico</w:t>
            </w:r>
          </w:p>
        </w:tc>
      </w:tr>
      <w:tr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Plano de implantação do piloto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90 dias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Ecossistemas + operações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16. Próximos documentos derivados</w:t>
      </w:r>
    </w:p>
    <w:p>
      <w:pPr>
        <w:pStyle w:val="ListBullet"/>
        <w:widowControl/>
        <w:spacing w:after="60"/>
        <w:ind w:left="403" w:hanging="230"/>
      </w:pPr>
      <w:r>
        <w:t>Apresentação institucional da HUB.</w:t>
      </w:r>
    </w:p>
    <w:p>
      <w:pPr>
        <w:pStyle w:val="ListBullet"/>
        <w:widowControl/>
        <w:spacing w:after="60"/>
        <w:ind w:left="403" w:hanging="230"/>
      </w:pPr>
      <w:r>
        <w:t>Plano de negócios e modelo financeiro.</w:t>
      </w:r>
    </w:p>
    <w:p>
      <w:pPr>
        <w:pStyle w:val="ListBullet"/>
        <w:widowControl/>
        <w:spacing w:after="60"/>
        <w:ind w:left="403" w:hanging="230"/>
      </w:pPr>
      <w:r>
        <w:t>Pitch para investidores e financiadores.</w:t>
      </w:r>
    </w:p>
    <w:p>
      <w:pPr>
        <w:pStyle w:val="ListBullet"/>
        <w:widowControl/>
        <w:spacing w:after="60"/>
        <w:ind w:left="403" w:hanging="230"/>
      </w:pPr>
      <w:r>
        <w:t>Proposta modular para entidades.</w:t>
      </w:r>
    </w:p>
    <w:p>
      <w:pPr>
        <w:pStyle w:val="ListBullet"/>
        <w:widowControl/>
        <w:spacing w:after="60"/>
        <w:ind w:left="403" w:hanging="230"/>
      </w:pPr>
      <w:r>
        <w:t>PRD e briefing técnico do MVP.</w:t>
      </w:r>
    </w:p>
    <w:p>
      <w:pPr>
        <w:pStyle w:val="ListBullet"/>
        <w:widowControl/>
        <w:spacing w:after="60"/>
        <w:ind w:left="403" w:hanging="230"/>
      </w:pPr>
      <w:r>
        <w:t>Regulamento e manual de evidências do selo.</w:t>
      </w:r>
    </w:p>
    <w:p>
      <w:pPr>
        <w:pStyle w:val="ListBullet"/>
        <w:widowControl/>
        <w:spacing w:after="60"/>
        <w:ind w:left="403" w:hanging="230"/>
      </w:pPr>
      <w:r>
        <w:t>Manual de governança do grupo.</w:t>
      </w:r>
    </w:p>
    <w:p>
      <w:pPr>
        <w:pStyle w:val="ListBullet"/>
        <w:widowControl/>
        <w:spacing w:after="60"/>
        <w:ind w:left="403" w:hanging="230"/>
      </w:pPr>
      <w:r>
        <w:t>Política comercial e tabela de produtos.</w:t>
      </w:r>
    </w:p>
    <w:p>
      <w:pPr>
        <w:pStyle w:val="ListBullet"/>
        <w:widowControl/>
        <w:spacing w:after="60"/>
        <w:ind w:left="403" w:hanging="230"/>
      </w:pPr>
      <w:r>
        <w:t>Teoria da mudança e matriz de indicadores.</w:t>
      </w:r>
    </w:p>
    <w:p>
      <w:pPr>
        <w:pStyle w:val="ListBullet"/>
        <w:widowControl/>
        <w:spacing w:after="60"/>
        <w:ind w:left="403" w:hanging="230"/>
      </w:pPr>
      <w:r>
        <w:t>Plano operacional do primeiro piloto.</w:t>
      </w:r>
    </w:p>
    <w:p>
      <w:pPr>
        <w:pStyle w:val="KeyMessage"/>
        <w:widowControl/>
      </w:pPr>
      <w:r>
        <w:t>Recomendação de sequência: validar cliente e piloto → fechar diagnóstico e jornada → especificar MVP → estruturar selo → escalar portfólio.</w:t>
      </w:r>
    </w:p>
    <w:p>
      <w:pPr>
        <w:pStyle w:val="Heading1"/>
        <w:widowControl/>
      </w:pPr>
      <w:r>
        <w:t>Apêndice A — Mapa da arquitetura</w:t>
      </w:r>
    </w:p>
    <w:p>
      <w:pPr>
        <w:widowControl/>
      </w:pPr>
      <w:r>
        <w:t>HUB é a marca e a inteligência do grupo. HUB Negócios opera receitas comerciais. O Instituto HUB executa projetos de finalidade pública. A Plataforma HUB organiza diagnóstico, jornadas, soluções, conexões, formação e reconhecimento. Sebrae, Firjan e demais entidades recebem experiências próprias, preservando a metodologia central.</w:t>
      </w:r>
    </w:p>
    <w:p>
      <w:pPr>
        <w:pStyle w:val="Heading1"/>
        <w:widowControl/>
      </w:pPr>
      <w:r>
        <w:t>Apêndice B — Glossário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88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7128"/>
            <w:shd w:fill="102A43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Ecossistema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Rede organizada de entidades, empresas, pessoas e soluções com objetivos e governança comuns.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White-label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Experiência personalizada do parceiro sobre tecnologia e metodologia centrais.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Maturidade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Capacidade demonstrada de estruturar, operar, medir e sustentar práticas.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Evidência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Registro verificável que sustenta uma resposta, prática ou resultado.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Matching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Recomendação ou conexão entre demanda e oferta segundo critérios explícitos.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Spend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1F5F4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Valor efetivamente comprado de uma categoria ou grupo de fornecedores.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Powered by HUB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color w:val="17202A"/>
                <w:sz w:val="18"/>
              </w:rPr>
              <w:t>Sinal de que a experiência utiliza tecnologia e metodologia da HUB.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36E"/>
        <w:sz w:val="16"/>
      </w:rPr>
      <w:t>HUB  •  Escopo estratégico v1.0  • 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A878"/>
        <w:sz w:val="16"/>
      </w:rPr>
      <w:t>HUB  /  DOCUMENTO-MÃE ESTRATÉGICO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color w:val="172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A8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 Display" w:hAnsi="Aptos Display"/>
      <w:b w:val="0"/>
      <w:i/>
      <w:iCs/>
      <w:color w:val="59636E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 w:line="283" w:lineRule="auto"/>
      <w:ind w:left="259" w:right="259"/>
      <w:shd w:fill="E8F7F2"/>
    </w:pPr>
    <w:rPr>
      <w:rFonts w:ascii="Aptos" w:hAnsi="Aptos"/>
      <w:b/>
      <w:color w:val="102A43"/>
      <w:sz w:val="22"/>
    </w:rPr>
  </w:style>
  <w:style w:type="paragraph" w:customStyle="1" w:styleId="KeyMessage">
    <w:name w:val="Key Message"/>
    <w:pPr>
      <w:spacing w:before="160" w:after="160" w:line="283" w:lineRule="auto"/>
      <w:ind w:left="259" w:right="259"/>
      <w:shd w:fill="102A43"/>
    </w:pPr>
    <w:rPr>
      <w:rFonts w:ascii="Aptos" w:hAnsi="Aptos"/>
      <w:b/>
      <w:color w:val="FFFFF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 — Documento-mãe do negócio</dc:title>
  <dc:subject>Escopo estratégico, plataforma, selo, modelo de negócio e implantação</dc:subject>
  <dc:creator>HUB</dc:creator>
  <cp:keywords>HUB, plataforma, ecossistemas empresariais, selo, impacto, estratégia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