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Customer Segmentation Project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Car Sales — Behavioral Segmentation Using K-Means Clustering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50"/>
      </w:pPr>
      <w:r>
        <w:t xml:space="preserve">This project segments customers based on purchasing behavior and demographics, using clustering techniques and Python (scikit-learn). Purchase patterns and preferences are analyzed, and the resulting segments and their key characteristics are visualized.</w:t>
      </w:r>
    </w:p>
    <w:p>
      <w:pPr>
        <w:pStyle w:val="Heading2"/>
        <w:spacing w:after="120" w:before="250"/>
      </w:pPr>
      <w:r>
        <w:t xml:space="preserve">A note on the dataset</w:t>
      </w:r>
    </w:p>
    <w:p>
      <w:pPr>
        <w:spacing w:after="150"/>
      </w:pPr>
      <w:r>
        <w:t xml:space="preserve">The provided dataset (Car_Sales_Dataset.csv) is a B2B sales transaction log recording car sales from multiple brands (Tata, Mahindra, Maruti Suzuki, Kia, Toyota, Honda, Hyundai) to dealership partners, across regions. It does not contain an individual end-consumer ID, age, or income column — the 'customer' in this dataset is the dealership buying channel.</w:t>
      </w:r>
    </w:p>
    <w:p>
      <w:pPr>
        <w:spacing w:after="150"/>
      </w:pPr>
      <w:r>
        <w:t xml:space="preserve">To deliver a genuine, useful segmentation on this data, each (Dealer × Region) combination — e.g. 'Elite Auto - West' — is treated as one customer / account. This yields 24 customer units built from the 100 transactions in the file.</w:t>
      </w:r>
    </w:p>
    <w:p>
      <w:pPr>
        <w:pStyle w:val="Heading1"/>
        <w:spacing w:after="150" w:before="300"/>
      </w:pPr>
      <w:r>
        <w:t xml:space="preserve">2. Methodology</w:t>
      </w:r>
    </w:p>
    <w:p>
      <w:pPr>
        <w:pStyle w:val="Heading2"/>
        <w:spacing w:after="120" w:before="250"/>
      </w:pPr>
      <w:r>
        <w:t xml:space="preserve">2.1 Feature Engineering</w:t>
      </w:r>
    </w:p>
    <w:p>
      <w:pPr>
        <w:spacing w:after="150"/>
      </w:pPr>
      <w:r>
        <w:t xml:space="preserve">For every (Dealer, Region) customer unit, the following behavioral features were computed from the raw transactions: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Revenue — total monetary value purchased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Units — total quantity of vehicles purchased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Transactions — purchase frequency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Unit Price — price tier of vehicles typically bought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Discount (%) — discount sensitivity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Fuel-Type Diversity — number of distinct fuel types purchased (Petrol/Diesel/CNG/Electric)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Order Value — Total Revenue / Number of Transactions</w:t>
      </w:r>
    </w:p>
    <w:p>
      <w:pPr>
        <w:pStyle w:val="Heading2"/>
        <w:spacing w:after="120" w:before="250"/>
      </w:pPr>
      <w:r>
        <w:t xml:space="preserve">2.2 Preprocessing &amp; Clustering</w:t>
      </w:r>
    </w:p>
    <w:p>
      <w:pPr>
        <w:spacing w:after="150"/>
      </w:pPr>
      <w:r>
        <w:t xml:space="preserve">Features were standardized using StandardScaler (zero mean, unit variance) so high-magnitude features like Total Revenue don't dominate the distance calculation. K-Means clustering was then applied.</w:t>
      </w:r>
    </w:p>
    <w:p>
      <w:pPr>
        <w:spacing w:after="150"/>
      </w:pPr>
      <w:r>
        <w:t xml:space="preserve">The optimal number of clusters (k) was tested for k = 2 to 7 using the Elbow Method and Silhouette Score:</w:t>
      </w:r>
    </w:p>
    <w:p>
      <w:pPr>
        <w:spacing w:after="200"/>
        <w:jc w:val="center"/>
      </w:pPr>
      <w:r>
        <w:drawing>
          <wp:inline distT="0" distB="0" distL="0" distR="0">
            <wp:extent cx="54292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k = 3 was selected for business interpretability (High / Mid / Low value), consistent with the elbow curve's inflection point.</w:t>
      </w:r>
    </w:p>
    <w:p>
      <w:pPr>
        <w:pStyle w:val="Heading1"/>
        <w:spacing w:after="150" w:before="300"/>
      </w:pPr>
      <w:r>
        <w:t xml:space="preserve">3. Customer Segments</w:t>
      </w:r>
    </w:p>
    <w:p>
      <w:pPr>
        <w:spacing w:after="150"/>
      </w:pPr>
      <w:r>
        <w:t xml:space="preserve">K-Means with k = 3 was fit on the scaled features. Segments were ranked and labeled by average revenue: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6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Revenue (INR)</w:t>
            </w:r>
          </w:p>
        </w:tc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Units</w:t>
            </w:r>
          </w:p>
        </w:tc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Txns</w:t>
            </w:r>
          </w:p>
        </w:tc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Unit Price</w:t>
            </w:r>
          </w:p>
        </w:tc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Discount %</w:t>
            </w:r>
          </w:p>
        </w:tc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Fuel Diversity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High-Value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56,563,333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44.7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1,362,500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4.5%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Mid-Value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32,930,500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973,704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4.6%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Low-Value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21,823,958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1,070,486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3.1%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1.9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3.1 Segment Visualization (PCA Projection)</w:t>
      </w:r>
    </w:p>
    <w:p>
      <w:pPr>
        <w:spacing w:after="150"/>
      </w:pPr>
      <w:r>
        <w:t xml:space="preserve">The 7 behavioral features were reduced to 2 principal components for visualization, showing clear separation between the three segments:</w:t>
      </w:r>
    </w:p>
    <w:p>
      <w:pPr>
        <w:spacing w:after="200"/>
        <w:jc w:val="center"/>
      </w:pPr>
      <w:r>
        <w:drawing>
          <wp:inline distT="0" distB="0" distL="0" distR="0">
            <wp:extent cx="4572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3.2 Segment Profiles</w:t>
      </w:r>
    </w:p>
    <w:p>
      <w:pPr>
        <w:spacing w:after="150"/>
      </w:pPr>
      <w:r>
        <w:t xml:space="preserve">Average feature values per segment, visualized side by side:</w:t>
      </w:r>
    </w:p>
    <w:p>
      <w:pPr>
        <w:spacing w:after="200"/>
        <w:jc w:val="center"/>
      </w:pPr>
      <w:r>
        <w:drawing>
          <wp:inline distT="0" distB="0" distL="0" distR="0">
            <wp:extent cx="54292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3.3 Segment Characteristics</w:t>
      </w:r>
    </w:p>
    <w:p>
      <w:pPr>
        <w:spacing w:after="150"/>
      </w:pPr>
      <w:r>
        <w:rPr>
          <w:b/>
          <w:bCs/>
        </w:rPr>
        <w:t xml:space="preserve">High-Value (3 units): Elite Auto-West, Metro Cars-Central, Speedway Motors-North.</w:t>
      </w:r>
    </w:p>
    <w:p>
      <w:pPr>
        <w:spacing w:after="150"/>
      </w:pPr>
      <w:r>
        <w:t xml:space="preserve">The strongest accounts — highest average revenue (₹5.66 Cr), largest order sizes (avg ₹1.36M unit price), and the widest fuel-type mix (3.3). These are premium, high-volume dealership relationships that should receive priority allocation of premium/SUV stock and dedicated account support.</w:t>
      </w:r>
    </w:p>
    <w:p>
      <w:pPr>
        <w:spacing w:after="150"/>
      </w:pPr>
      <w:r>
        <w:rPr>
          <w:b/>
          <w:bCs/>
        </w:rPr>
        <w:t xml:space="preserve">Mid-Value (9 units) — the largest group.</w:t>
      </w:r>
    </w:p>
    <w:p>
      <w:pPr>
        <w:spacing w:after="150"/>
      </w:pPr>
      <w:r>
        <w:t xml:space="preserve">Moderate revenue (₹3.29 Cr avg) but the highest transaction frequency (5.7 orders on average) of all segments. This is the volume-and-frequency segment — they order often but in smaller batches. Bundled multi-unit offers could raise their average order value and push them toward High-Value.</w:t>
      </w:r>
    </w:p>
    <w:p>
      <w:pPr>
        <w:spacing w:after="150"/>
      </w:pPr>
      <w:r>
        <w:rPr>
          <w:b/>
          <w:bCs/>
        </w:rPr>
        <w:t xml:space="preserve">Low-Value (12 units): City Auto Hub (all 4 regions), Elite Auto-East/North/South, Metro Cars-South, Prime Motors-Central/West, Speedway Motors-Central/West.</w:t>
      </w:r>
    </w:p>
    <w:p>
      <w:pPr>
        <w:spacing w:after="150"/>
      </w:pPr>
      <w:r>
        <w:t xml:space="preserve">Lower revenue (₹2.18 Cr avg), fewer transactions (3.0), and the narrowest fuel-type mix (1.9) — they tend to buy one or two fuel types repeatedly. Cross-selling other fuel-type models (e.g. introducing Electric/CNG options where only Petrol/Diesel is bought) is the clearest growth lever here.</w:t>
      </w:r>
    </w:p>
    <w:p>
      <w:pPr>
        <w:pStyle w:val="Heading1"/>
        <w:spacing w:after="150" w:before="300"/>
      </w:pPr>
      <w:r>
        <w:t xml:space="preserve">4. Purchase Pattern Analysis</w:t>
      </w:r>
    </w:p>
    <w:p>
      <w:pPr>
        <w:pStyle w:val="Heading2"/>
        <w:spacing w:after="120" w:before="250"/>
      </w:pPr>
      <w:r>
        <w:t xml:space="preserve">4.1 Revenue by Fuel Type</w:t>
      </w:r>
    </w:p>
    <w:p>
      <w:pPr>
        <w:spacing w:after="150"/>
      </w:pPr>
      <w:r>
        <w:t xml:space="preserve">Diesel and CNG vehicles generate the most revenue overall, followed by Petrol and Electric — reflecting a market still led by traditional fuel types even as Electric gains share.</w:t>
      </w:r>
    </w:p>
    <w:p>
      <w:pPr>
        <w:spacing w:after="200"/>
        <w:jc w:val="center"/>
      </w:pPr>
      <w:r>
        <w:drawing>
          <wp:inline distT="0" distB="0" distL="0" distR="0">
            <wp:extent cx="4572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4.2 Monthly Revenue Trend</w:t>
      </w:r>
    </w:p>
    <w:p>
      <w:pPr>
        <w:spacing w:after="150"/>
      </w:pPr>
      <w:r>
        <w:t xml:space="preserve">Revenue is driven by individual large-ticket transactions rather than a steady seasonal pattern, typical of big-ticket B2B vehicle sales.</w:t>
      </w:r>
    </w:p>
    <w:p>
      <w:pPr>
        <w:spacing w:after="200"/>
        <w:jc w:val="center"/>
      </w:pPr>
      <w:r>
        <w:drawing>
          <wp:inline distT="0" distB="0" distL="0" distR="0">
            <wp:extent cx="5143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4.3 Fuel Type Preference by Segment</w:t>
      </w:r>
    </w:p>
    <w:p>
      <w:pPr>
        <w:spacing w:after="150"/>
      </w:pPr>
      <w:r>
        <w:t xml:space="preserve">This heatmap shows what % of each segment's revenue comes from each fuel type — useful for tailoring fuel-type-specific offers per segment.</w:t>
      </w:r>
    </w:p>
    <w:p>
      <w:pPr>
        <w:spacing w:after="200"/>
        <w:jc w:val="center"/>
      </w:pPr>
      <w:r>
        <w:drawing>
          <wp:inline distT="0" distB="0" distL="0" distR="0">
            <wp:extent cx="4762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4.4 Discount Sensitivity vs Revenue</w:t>
      </w:r>
    </w:p>
    <w:p>
      <w:pPr>
        <w:spacing w:after="150"/>
      </w:pPr>
      <w:r>
        <w:t xml:space="preserve">High-Value accounts generate strong revenue without needing heavy discounts, while Low-Value accounts show more scattered, lower-revenue behavior across discount levels.</w:t>
      </w:r>
    </w:p>
    <w:p>
      <w:pPr>
        <w:spacing w:after="200"/>
        <w:jc w:val="center"/>
      </w:pPr>
      <w:r>
        <w:drawing>
          <wp:inline distT="0" distB="0" distL="0" distR="0">
            <wp:extent cx="4572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5. Expected Outcome &amp;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Prioritize stock allocation and account management for the 3 High-Value dealer-region accounts, which generate the highest average revenue per unit.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frequency-to-value conversion campaigns (bundled deals, fleet discounts) for the 9 Mid-Value accounts, who already order often but in smaller batches.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Introduce cross-fuel-type promotions (e.g. Electric/CNG models) to the 12 Low-Value accounts to diversify their narrow purchasing pattern and lift order value.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Continue strong Diesel and CNG assortment, which together drive over half of total revenue, while growing Electric share opportunistically.</w:t>
      </w:r>
    </w:p>
    <w:p>
      <w:pPr>
        <w:spacing w:after="150"/>
      </w:pPr>
      <w:r>
        <w:t xml:space="preserve"/>
      </w:r>
    </w:p>
    <w:p>
      <w:pPr>
        <w:spacing w:after="150"/>
      </w:pPr>
      <w:r>
        <w:rPr>
          <w:i/>
          <w:iCs/>
          <w:color w:val="555555"/>
        </w:rPr>
        <w:t xml:space="preserve">This analysis demonstrates the full customer-analytics workflow requested: feature engineering from raw transactions, K-Means clustering with data-driven k selection, PCA-based segment visualization, and purchase-pattern analysis — delivering targeted insights for each customer segment.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2097e74477eaa9a6ce73ba21bc1dc4fc43b80f.png"/><Relationship Id="rId8" Type="http://schemas.openxmlformats.org/officeDocument/2006/relationships/image" Target="media/4c6622da1d737a81638cee2e4d466853cb7626f8.png"/><Relationship Id="rId9" Type="http://schemas.openxmlformats.org/officeDocument/2006/relationships/image" Target="media/b6beb2b093867e1607cee197ca3538c55de53e43.png"/><Relationship Id="rId10" Type="http://schemas.openxmlformats.org/officeDocument/2006/relationships/image" Target="media/408f0c5af08eb3bcf167169d442fe73d066bc273.png"/><Relationship Id="rId11" Type="http://schemas.openxmlformats.org/officeDocument/2006/relationships/image" Target="media/f99b4113e4f1f94875172a548321ff27b83b0d8e.png"/><Relationship Id="rId12" Type="http://schemas.openxmlformats.org/officeDocument/2006/relationships/image" Target="media/85d6b0a59881ddbed1314f9902b4384f903de524.png"/><Relationship Id="rId13" Type="http://schemas.openxmlformats.org/officeDocument/2006/relationships/image" Target="media/a443eaed67497c4c0c21198d79e89190ed79d23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2026-08-21T20:15:18.971Z</dcterms:created>
  <dcterms:modified xsi:type="dcterms:W3CDTF">2026-08-21T20:15:18.982Z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