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Predictive Analytics Using Historical Data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Car Sales Revenue Forecasting — Regression &amp; Time-Series Models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50"/>
      </w:pPr>
      <w:r>
        <w:t xml:space="preserve">This project builds a predictive model to forecast future trends using regression and time-series techniques. The historical Car Sales dataset (100 transactions, Jan–Jul 2026) is cleaned and preprocessed, two complementary models are trained and evaluated, and their predictions are visualized.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A — Transaction-level regression: predicts the Revenue of an individual sale from its features (units sold, unit price, discount, brand, fuel type, region, dealer).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B — Monthly time-series forecast: projects total revenue for the next 3 months based on the historical monthly trend.</w:t>
      </w:r>
    </w:p>
    <w:p>
      <w:pPr>
        <w:pStyle w:val="Heading1"/>
        <w:spacing w:after="150" w:before="300"/>
      </w:pPr>
      <w:r>
        <w:t xml:space="preserve">2. Data Cleaning &amp; Preprocessing</w:t>
      </w:r>
    </w:p>
    <w:p>
      <w:pPr>
        <w:spacing w:after="150"/>
      </w:pPr>
      <w:r>
        <w:t xml:space="preserve">The dataset was checked for missing values and duplicates — none were found. Sanity filters were applied (positive units sold, positive unit price, non-negative revenue), leaving all 100 transactions in the clean dataset.</w:t>
      </w:r>
    </w:p>
    <w:p>
      <w:pPr>
        <w:spacing w:after="150"/>
      </w:pPr>
      <w:r>
        <w:t xml:space="preserve">Numeric features (Units Sold, Unit Price, Discount %) were standardized with StandardScaler. Categorical features (Brand, Fuel Type, Region, Dealer) were one-hot encoded. Data was split 80/20 into training and test sets.</w:t>
      </w:r>
    </w:p>
    <w:p>
      <w:pPr>
        <w:pStyle w:val="Heading1"/>
        <w:spacing w:after="150" w:before="300"/>
      </w:pPr>
      <w:r>
        <w:t xml:space="preserve">3. Part A: Transaction-Level Revenue Regression</w:t>
      </w:r>
    </w:p>
    <w:p>
      <w:pPr>
        <w:pStyle w:val="Heading2"/>
        <w:spacing w:after="120" w:before="250"/>
      </w:pPr>
      <w:r>
        <w:t xml:space="preserve">3.1 Models Trained</w:t>
      </w:r>
    </w:p>
    <w:p>
      <w:pPr>
        <w:spacing w:after="150"/>
      </w:pPr>
      <w:r>
        <w:t xml:space="preserve">Two regression models were trained and compared: a Linear Regression baseline and a Random Forest Regressor (200 trees, max depth 6) to capture non-linear interactions.</w:t>
      </w:r>
    </w:p>
    <w:p>
      <w:pPr>
        <w:pStyle w:val="Heading2"/>
        <w:spacing w:after="120" w:before="250"/>
      </w:pPr>
      <w:r>
        <w:t xml:space="preserve">3.2 Model Evaluation</w:t>
      </w:r>
    </w:p>
    <w:p>
      <w:pPr>
        <w:spacing w:after="150"/>
      </w:pPr>
      <w:r>
        <w:t xml:space="preserve">Models were evaluated on the held-out 20% test set using R² (variance explained), MAE, RMSE, and MAPE: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1700"/>
        <w:gridCol w:w="1700"/>
      </w:tblGrid>
      <w:tr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7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17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 (INR)</w:t>
            </w:r>
          </w:p>
        </w:tc>
        <w:tc>
          <w:tcPr>
            <w:tcW w:type="dxa" w:w="17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RMSE (INR)</w:t>
            </w:r>
          </w:p>
        </w:tc>
        <w:tc>
          <w:tcPr>
            <w:tcW w:type="dxa" w:w="17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0.680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2,075,018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3,612,026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44.6%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0.677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1,604,094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3,626,514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23.1%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Linear Regression achieved a slightly higher R² (0.68), while Random Forest achieved a notably lower MAPE (23.1% vs 44.6%), meaning its percentage errors are smaller and more consistent across transactions of different sizes. Given only 100 training examples, both models perform reasonably — revenue is inherently close to Units Sold × Unit Price × (1 − Discount), so a large share of the signal is captured directly from those two numeric features.</w:t>
      </w:r>
    </w:p>
    <w:p>
      <w:pPr>
        <w:pStyle w:val="Heading2"/>
        <w:spacing w:after="120" w:before="250"/>
      </w:pPr>
      <w:r>
        <w:t xml:space="preserve">3.3 Actual vs Predicted Revenue</w:t>
      </w:r>
    </w:p>
    <w:p>
      <w:pPr>
        <w:spacing w:after="200"/>
        <w:jc w:val="center"/>
      </w:pPr>
      <w:r>
        <w:drawing>
          <wp:inline distT="0" distB="0" distL="0" distR="0">
            <wp:extent cx="4000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3.4 Residual Distribution</w:t>
      </w:r>
    </w:p>
    <w:p>
      <w:pPr>
        <w:spacing w:after="150"/>
      </w:pPr>
      <w:r>
        <w:t xml:space="preserve">Residuals (Actual − Predicted) are roughly centered around zero with no strong systematic bias, though variance increases for higher-revenue transactions — typical for revenue data with a wide value range.</w:t>
      </w:r>
    </w:p>
    <w:p>
      <w:pPr>
        <w:spacing w:after="200"/>
        <w:jc w:val="center"/>
      </w:pPr>
      <w:r>
        <w:drawing>
          <wp:inline distT="0" distB="0" distL="0" distR="0">
            <wp:extent cx="4572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3.5 Model Comparison</w:t>
      </w:r>
    </w:p>
    <w:p>
      <w:pPr>
        <w:spacing w:after="200"/>
        <w:jc w:val="center"/>
      </w:pPr>
      <w:r>
        <w:drawing>
          <wp:inline distT="0" distB="0" distL="0" distR="0">
            <wp:extent cx="542925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3.6 Feature Importance (Random Forest)</w:t>
      </w:r>
    </w:p>
    <w:p>
      <w:pPr>
        <w:spacing w:after="150"/>
      </w:pPr>
      <w:r>
        <w:t xml:space="preserve">As expected, Units Sold and Unit Price dominate the prediction — together accounting for the vast majority of importance, since Revenue is mathematically derived from them. Region, Discount, Fuel Type, and Brand contribute smaller but non-zero signal, capturing pricing and demand variation across segments.</w:t>
      </w:r>
    </w:p>
    <w:p>
      <w:pPr>
        <w:spacing w:after="200"/>
        <w:jc w:val="center"/>
      </w:pPr>
      <w:r>
        <w:drawing>
          <wp:inline distT="0" distB="0" distL="0" distR="0">
            <wp:extent cx="4762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4. Part B: Monthly Revenue Time-Series Forecast</w:t>
      </w:r>
    </w:p>
    <w:p>
      <w:pPr>
        <w:pStyle w:val="Heading2"/>
        <w:spacing w:after="120" w:before="250"/>
      </w:pPr>
      <w:r>
        <w:t xml:space="preserve">4.1 Historical Monthly Revenue</w:t>
      </w:r>
    </w:p>
    <w:p>
      <w:pPr>
        <w:spacing w:after="150"/>
      </w:pPr>
      <w:r>
        <w:t xml:space="preserve">Transactions were aggregated into monthly revenue totals (Jan–Jul 2026). A linear trend model was fit against the time index to capture the overall direction, and extrapolated 3 months forward.</w:t>
      </w:r>
    </w:p>
    <w:p>
      <w:pPr>
        <w:spacing w:after="200"/>
        <w:jc w:val="center"/>
      </w:pPr>
      <w:r>
        <w:drawing>
          <wp:inline distT="0" distB="0" distL="0" distR="0">
            <wp:extent cx="542925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4.2 Forecast: Next 3 Months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Forecast Revenue (INR)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August 2026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7,94,33,000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September 2026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7,32,92,964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October 2026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6,71,52,929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4.3 Limitation — Honest Assessment</w:t>
      </w:r>
    </w:p>
    <w:p>
      <w:pPr>
        <w:spacing w:after="150"/>
      </w:pPr>
      <w:r>
        <w:t xml:space="preserve">The in-sample trend fit has a low R² (≈0.09), because monthly revenue is highly volatile with only 7 historical months — June 2026 in particular shows an unusually low value compared to surrounding months, likely due to fewer large transactions being recorded that month. With so few data points, a linear trend cannot reliably separate genuine trend from noise, so the downward-sloping forecast should be treated as a rough directional estimate rather than a precise prediction. A more robust forecast would need at least 12–24 months of history to model seasonality (e.g. with SARIMA or Prophet) instead of a simple linear trend.</w:t>
      </w:r>
    </w:p>
    <w:p>
      <w:pPr>
        <w:pStyle w:val="Heading1"/>
        <w:spacing w:after="150" w:before="300"/>
      </w:pPr>
      <w:r>
        <w:t xml:space="preserve">5. Expected Outcome &amp; Key Takeaways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per transaction is predictable with reasonable accuracy (R² ≈ 0.68) primarily from Units Sold and Unit Price — confirming the models learned the correct underlying relationship.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Random Forest gives more consistent percentage accuracy (23% MAPE) across transaction sizes, making it the safer choice for revenue estimation tools.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monthly time-series trend is directionally informative but statistically weak given limited history — more months of data are recommended before trusting the forecast for business planning.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Region, Discount, Fuel Type, and Dealer/Brand differences provide secondary predictive signal worth exploring for targeted pricing strategies.</w:t>
      </w:r>
    </w:p>
    <w:p>
      <w:pPr>
        <w:spacing w:after="150"/>
      </w:pPr>
      <w:r>
        <w:t xml:space="preserve"/>
      </w:r>
    </w:p>
    <w:p>
      <w:pPr>
        <w:spacing w:after="150"/>
      </w:pPr>
      <w:r>
        <w:rPr>
          <w:i/>
          <w:iCs/>
          <w:color w:val="555555"/>
        </w:rPr>
        <w:t xml:space="preserve">This analysis demonstrates the full predictive-modeling workflow requested: data cleaning, regression modeling (Linear Regression + Random Forest) with rigorous evaluation (R², MAE, RMSE, MAPE), time-series trend forecasting, and visualization of both fit quality and forecasts — while being transparent about the limitations of forecasting from a short historical window.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7315a177becd8a7b89452eb21b7d780bca6205.png"/><Relationship Id="rId8" Type="http://schemas.openxmlformats.org/officeDocument/2006/relationships/image" Target="media/d463b14a04b80e99611cbe072459ef88f49b03a9.png"/><Relationship Id="rId9" Type="http://schemas.openxmlformats.org/officeDocument/2006/relationships/image" Target="media/dbfeef75ae0e9ebe6fb69565ac401c4115c95cf7.png"/><Relationship Id="rId10" Type="http://schemas.openxmlformats.org/officeDocument/2006/relationships/image" Target="media/68538d6802a896cab03b99b5939f5478bb30d30f.png"/><Relationship Id="rId11" Type="http://schemas.openxmlformats.org/officeDocument/2006/relationships/image" Target="media/cb16c8fa8921266b58e5361bffb9f645722c0a6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2026-08-21T20:37:49.728Z</dcterms:created>
  <dcterms:modified xsi:type="dcterms:W3CDTF">2026-08-21T20:37:49.741Z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