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0438" w14:textId="77777777" w:rsidR="008E01A1" w:rsidRDefault="00D541C8">
      <w:pPr>
        <w:spacing w:before="1800"/>
        <w:jc w:val="center"/>
      </w:pPr>
      <w:r>
        <w:rPr>
          <w:b/>
          <w:color w:val="1F4E79"/>
          <w:sz w:val="56"/>
        </w:rPr>
        <w:t>Retrieval-Augmented Steering (RAS)</w:t>
      </w:r>
    </w:p>
    <w:p w14:paraId="5824BD32" w14:textId="77777777" w:rsidR="008E01A1" w:rsidRDefault="00D541C8">
      <w:pPr>
        <w:jc w:val="center"/>
      </w:pPr>
      <w:r>
        <w:rPr>
          <w:i/>
          <w:color w:val="2E75B6"/>
          <w:sz w:val="30"/>
        </w:rPr>
        <w:t>Query-Conditional Latent Control for Reasoning,</w:t>
      </w:r>
      <w:r>
        <w:rPr>
          <w:i/>
          <w:color w:val="2E75B6"/>
          <w:sz w:val="30"/>
        </w:rPr>
        <w:br/>
        <w:t>with a Conformal No-Harm Guarantee</w:t>
      </w:r>
    </w:p>
    <w:p w14:paraId="147B13BD" w14:textId="77777777" w:rsidR="008E01A1" w:rsidRDefault="00D541C8">
      <w:pPr>
        <w:spacing w:before="480"/>
        <w:jc w:val="center"/>
      </w:pPr>
      <w:r>
        <w:rPr>
          <w:color w:val="595959"/>
          <w:sz w:val="24"/>
        </w:rPr>
        <w:t>Working name: "Conformal Steering" / "Safe RAS"</w:t>
      </w:r>
    </w:p>
    <w:p w14:paraId="50B0F4B4" w14:textId="18F7F3D8" w:rsidR="008E01A1" w:rsidRDefault="00D541C8">
      <w:pPr>
        <w:spacing w:before="1200"/>
        <w:jc w:val="center"/>
      </w:pPr>
      <w:r>
        <w:rPr>
          <w:color w:val="595959"/>
        </w:rPr>
        <w:t>Research Plan — In-Context Learning / Activation Steering</w:t>
      </w:r>
      <w:r>
        <w:rPr>
          <w:color w:val="595959"/>
        </w:rPr>
        <w:br/>
      </w:r>
      <w:r>
        <w:rPr>
          <w:color w:val="595959"/>
        </w:rPr>
        <w:br/>
      </w:r>
    </w:p>
    <w:p w14:paraId="2FA87C53" w14:textId="77777777" w:rsidR="008E01A1" w:rsidRDefault="00D541C8">
      <w:r>
        <w:br w:type="page"/>
      </w:r>
    </w:p>
    <w:p w14:paraId="6DB65B4F" w14:textId="77777777" w:rsidR="008E01A1" w:rsidRDefault="00D541C8">
      <w:pPr>
        <w:pStyle w:val="Heading1"/>
      </w:pPr>
      <w:r>
        <w:lastRenderedPageBreak/>
        <w:t>Executive Summary</w:t>
      </w:r>
    </w:p>
    <w:p w14:paraId="07D9D9C4" w14:textId="77777777" w:rsidR="008E01A1" w:rsidRDefault="00D541C8">
      <w:r>
        <w:rPr>
          <w:b/>
          <w:color w:val="1F4E79"/>
        </w:rPr>
        <w:t xml:space="preserve">In one line:  </w:t>
      </w:r>
      <w:r>
        <w:t xml:space="preserve">just as RAG decouples knowledge from weights (retrieve documents at inference), </w:t>
      </w:r>
      <w:r>
        <w:rPr>
          <w:i/>
        </w:rPr>
        <w:t xml:space="preserve">RAS decouples skills from weights </w:t>
      </w:r>
      <w:r>
        <w:t>by retrieving demonstration-derived ste</w:t>
      </w:r>
      <w:r>
        <w:t>ering vectors at inference — at ~zero context-token cost and with no retraining to add a skill.</w:t>
      </w:r>
    </w:p>
    <w:p w14:paraId="4B83F59D" w14:textId="77777777" w:rsidR="008E01A1" w:rsidRDefault="00D541C8">
      <w:r>
        <w:t xml:space="preserve">The paper leads with a calibrated steer-or-abstain gate that controls the harm rate (the probability that steering flips a baseline-correct answer to wrong) at </w:t>
      </w:r>
      <w:r>
        <w:t>a user-chosen level α via conformal risk control. The headline result is the risk–coverage frontier: how much reasoning gain is retained at a guaranteed harm rate — a control knob global steering does not have.</w:t>
      </w:r>
    </w:p>
    <w:p w14:paraId="207277D5" w14:textId="77777777" w:rsidR="008E01A1" w:rsidRDefault="00D541C8">
      <w:r>
        <w:rPr>
          <w:b/>
          <w:color w:val="1F4E79"/>
        </w:rPr>
        <w:t xml:space="preserve">Novelty verdict (honest): </w:t>
      </w:r>
      <w:r>
        <w:t xml:space="preserve">"query-conditional </w:t>
      </w:r>
      <w:r>
        <w:t>steering" is NOT novel (crowded 2025–26 area). What is open is the combination: a non-parametric, extensible, retrieval-augmented steering system + an uncertainty-gated "do-no-harm" guarantee + a reasoning focus, at near-zero cost.</w:t>
      </w:r>
    </w:p>
    <w:p w14:paraId="626BDA27" w14:textId="77777777" w:rsidR="008E01A1" w:rsidRDefault="008E01A1">
      <w:pPr>
        <w:pBdr>
          <w:bottom w:val="single" w:sz="6" w:space="1" w:color="2E75B6"/>
        </w:pBdr>
      </w:pPr>
    </w:p>
    <w:p w14:paraId="5E9CF7B6" w14:textId="77777777" w:rsidR="008E01A1" w:rsidRDefault="00D541C8">
      <w:pPr>
        <w:pStyle w:val="Heading1"/>
      </w:pPr>
      <w:r>
        <w:t>1. Motivation</w:t>
      </w:r>
    </w:p>
    <w:p w14:paraId="46D7F063" w14:textId="77777777" w:rsidR="008E01A1" w:rsidRDefault="00D541C8">
      <w:r>
        <w:t>Activatio</w:t>
      </w:r>
      <w:r>
        <w:t>n steering can improve reasoning, but it is documented to be unreliable and input-dependent, and even “benign” steering can cause harmful side-effects. A single global vector applied to every query is a compromise average that helps some inputs and silentl</w:t>
      </w:r>
      <w:r>
        <w:t>y degrades others — unacceptable for deployment.</w:t>
      </w:r>
    </w:p>
    <w:p w14:paraId="652DD5B0" w14:textId="77777777" w:rsidR="008E01A1" w:rsidRDefault="00D541C8">
      <w:r>
        <w:t xml:space="preserve">The deepest unmet need is not </w:t>
      </w:r>
      <w:r>
        <w:rPr>
          <w:i/>
        </w:rPr>
        <w:t>“steer harder”</w:t>
      </w:r>
      <w:r>
        <w:t xml:space="preserve"> but </w:t>
      </w:r>
      <w:r>
        <w:rPr>
          <w:b/>
        </w:rPr>
        <w:t>steer only when it is safe to, and abstain otherwise.</w:t>
      </w:r>
    </w:p>
    <w:p w14:paraId="2A6BA4F8" w14:textId="77777777" w:rsidR="008E01A1" w:rsidRDefault="00D541C8">
      <w:r>
        <w:t>Two further observations sharpen the opportunity:</w:t>
      </w:r>
    </w:p>
    <w:p w14:paraId="7EA4845F" w14:textId="77777777" w:rsidR="008E01A1" w:rsidRDefault="00D541C8">
      <w:pPr>
        <w:pStyle w:val="ListBullet"/>
        <w:spacing w:after="60"/>
      </w:pPr>
      <w:r>
        <w:rPr>
          <w:b/>
        </w:rPr>
        <w:t xml:space="preserve">Prompt as a router. </w:t>
      </w:r>
      <w:r>
        <w:t>the prompt is itself a signal that</w:t>
      </w:r>
      <w:r>
        <w:t xml:space="preserve"> can retrieve which steering vector(s) to use (a RAG-like intuition) — e.g. a math question should pull a math-reasoning vector, not a global average; and</w:t>
      </w:r>
    </w:p>
    <w:p w14:paraId="08773F41" w14:textId="77777777" w:rsidR="008E01A1" w:rsidRDefault="00D541C8">
      <w:pPr>
        <w:pStyle w:val="ListBullet"/>
        <w:spacing w:after="60"/>
      </w:pPr>
      <w:r>
        <w:rPr>
          <w:b/>
        </w:rPr>
        <w:t xml:space="preserve">Heterogeneity thesis. </w:t>
      </w:r>
      <w:r>
        <w:t xml:space="preserve">gains appear specifically under heterogeneity — a mixture of query types where </w:t>
      </w:r>
      <w:r>
        <w:t>one global vector cannot be right for all. This is exactly where global steering provably fails and where a retrieve-then-steer system earns its keep.</w:t>
      </w:r>
    </w:p>
    <w:p w14:paraId="61C25523" w14:textId="77777777" w:rsidR="008E01A1" w:rsidRDefault="008E01A1"/>
    <w:p w14:paraId="77490637" w14:textId="77777777" w:rsidR="008E01A1" w:rsidRDefault="00D541C8">
      <w:pPr>
        <w:spacing w:before="80" w:after="40"/>
      </w:pPr>
      <w:r>
        <w:rPr>
          <w:b/>
          <w:sz w:val="21"/>
        </w:rPr>
        <w:t>Evidence base for the motivation (verified):</w:t>
      </w:r>
    </w:p>
    <w:p w14:paraId="47805867" w14:textId="77777777" w:rsidR="008E01A1" w:rsidRDefault="00D541C8">
      <w:pPr>
        <w:pStyle w:val="ListBullet"/>
        <w:spacing w:after="60"/>
      </w:pPr>
      <w:r>
        <w:t>Steering is unreliable / input-dependent — Tan et al., Neur</w:t>
      </w:r>
      <w:r>
        <w:t>IPS 2024; Braun 2026 (2602.17881).</w:t>
      </w:r>
    </w:p>
    <w:p w14:paraId="21CC3AF7" w14:textId="77777777" w:rsidR="008E01A1" w:rsidRDefault="00D541C8">
      <w:pPr>
        <w:pStyle w:val="ListBullet"/>
        <w:spacing w:after="60"/>
      </w:pPr>
      <w:r>
        <w:t>Benign steering increases jailbreak risk — “Steering Externalities” (2602.04896).</w:t>
      </w:r>
    </w:p>
    <w:p w14:paraId="32FEDD83" w14:textId="77777777" w:rsidR="008E01A1" w:rsidRDefault="00D541C8">
      <w:pPr>
        <w:pStyle w:val="ListBullet"/>
        <w:spacing w:after="60"/>
      </w:pPr>
      <w:r>
        <w:t>Entropy alone is insufficient for safe selective prediction — (2603.21172): the gate must combine router margin + a calibrated score, not e</w:t>
      </w:r>
      <w:r>
        <w:t>ntropy alone.</w:t>
      </w:r>
    </w:p>
    <w:p w14:paraId="7684C4E0" w14:textId="77777777" w:rsidR="008E01A1" w:rsidRDefault="008E01A1">
      <w:pPr>
        <w:pBdr>
          <w:bottom w:val="single" w:sz="6" w:space="1" w:color="2E75B6"/>
        </w:pBdr>
      </w:pPr>
    </w:p>
    <w:p w14:paraId="5E81C0DB" w14:textId="77777777" w:rsidR="008E01A1" w:rsidRDefault="00D541C8">
      <w:pPr>
        <w:pStyle w:val="Heading1"/>
      </w:pPr>
      <w:r>
        <w:lastRenderedPageBreak/>
        <w:t>2. Problem Statement</w:t>
      </w:r>
    </w:p>
    <w:p w14:paraId="32D07896" w14:textId="77777777" w:rsidR="008E01A1" w:rsidRDefault="00D541C8">
      <w:r>
        <w:rPr>
          <w:b/>
          <w:color w:val="1F4E79"/>
        </w:rPr>
        <w:t xml:space="preserve">Core question.  </w:t>
      </w:r>
      <w:r>
        <w:t xml:space="preserve">Can query-conditional latent steering for reasoning be equipped with a calibrated abstention gate that controls the rate of harm — the probability that steering flips a baseline-correct answer to </w:t>
      </w:r>
      <w:r>
        <w:t>wrong — at a user-chosen level α via conformal risk control, while still capturing the upside when retrieval is confident?</w:t>
      </w:r>
    </w:p>
    <w:p w14:paraId="02AEE2F8" w14:textId="77777777" w:rsidR="008E01A1" w:rsidRDefault="00D541C8">
      <w:pPr>
        <w:spacing w:before="80" w:after="40"/>
      </w:pPr>
      <w:r>
        <w:rPr>
          <w:b/>
        </w:rPr>
        <w:t>Concrete formulation.</w:t>
      </w:r>
    </w:p>
    <w:p w14:paraId="0A45FAB8" w14:textId="77777777" w:rsidR="008E01A1" w:rsidRDefault="00D541C8">
      <w:pPr>
        <w:pStyle w:val="ListNumber"/>
        <w:spacing w:after="60"/>
      </w:pPr>
      <w:r>
        <w:rPr>
          <w:b/>
        </w:rPr>
        <w:t xml:space="preserve">Build an open-domain steering bank — </w:t>
      </w:r>
      <w:r>
        <w:t>cluster a large demonstration corpus into auto-discovered skills (one stee</w:t>
      </w:r>
      <w:r>
        <w:t>ring vector per cluster, computed offline);</w:t>
      </w:r>
    </w:p>
    <w:p w14:paraId="39B02848" w14:textId="77777777" w:rsidR="008E01A1" w:rsidRDefault="00D541C8">
      <w:pPr>
        <w:pStyle w:val="ListNumber"/>
        <w:spacing w:after="60"/>
      </w:pPr>
      <w:r>
        <w:rPr>
          <w:b/>
        </w:rPr>
        <w:t xml:space="preserve">Per query, </w:t>
      </w:r>
      <w:r>
        <w:t>retrieve the nearest skill vector(s) by query similarity;</w:t>
      </w:r>
    </w:p>
    <w:p w14:paraId="36062EE9" w14:textId="77777777" w:rsidR="008E01A1" w:rsidRDefault="00D541C8">
      <w:pPr>
        <w:pStyle w:val="ListNumber"/>
        <w:spacing w:after="60"/>
      </w:pPr>
      <w:r>
        <w:t>compose the retrieved vectors;</w:t>
      </w:r>
    </w:p>
    <w:p w14:paraId="26426641" w14:textId="77777777" w:rsidR="008E01A1" w:rsidRDefault="00D541C8">
      <w:pPr>
        <w:pStyle w:val="ListNumber"/>
        <w:spacing w:after="60"/>
      </w:pPr>
      <w:r>
        <w:t>steer-or-abstain by a conformally-calibrated confidence score.</w:t>
      </w:r>
    </w:p>
    <w:p w14:paraId="5C599BA3" w14:textId="77777777" w:rsidR="008E01A1" w:rsidRDefault="00D541C8">
      <w:pPr>
        <w:spacing w:before="40"/>
      </w:pPr>
      <w:r>
        <w:rPr>
          <w:i/>
        </w:rPr>
        <w:t>All at negligible cost: one query embedding + a c</w:t>
      </w:r>
      <w:r>
        <w:rPr>
          <w:i/>
        </w:rPr>
        <w:t>osine lookup + a vector add; zero extra context tokens; new skills = new bank entries, no retraining.</w:t>
      </w:r>
    </w:p>
    <w:p w14:paraId="74B495C0" w14:textId="77777777" w:rsidR="008E01A1" w:rsidRDefault="00D541C8">
      <w:pPr>
        <w:spacing w:before="120" w:after="40"/>
      </w:pPr>
      <w:r>
        <w:rPr>
          <w:b/>
          <w:color w:val="1F4E79"/>
        </w:rPr>
        <w:t>The guarantee (stated honestly — not overclaimed).</w:t>
      </w:r>
    </w:p>
    <w:p w14:paraId="4EE1E946" w14:textId="77777777" w:rsidR="008E01A1" w:rsidRDefault="00D541C8">
      <w:r>
        <w:t>NOT “never harms any instance.” Rather: under exchangeable calibration data, conformal risk control bou</w:t>
      </w:r>
      <w:r>
        <w:t>nds the expected harm rate ≤ α with high probability, trading coverage (how often we steer) for safety. Overclaiming here is the fastest path to desk-rejection.</w:t>
      </w:r>
    </w:p>
    <w:p w14:paraId="4BBF0C74" w14:textId="77777777" w:rsidR="008E01A1" w:rsidRDefault="00D541C8">
      <w:pPr>
        <w:spacing w:before="120" w:after="40"/>
      </w:pPr>
      <w:r>
        <w:rPr>
          <w:b/>
          <w:color w:val="1F4E79"/>
        </w:rPr>
        <w:t>Success criteria (falsifiable).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8310"/>
      </w:tblGrid>
      <w:tr w:rsidR="008E01A1" w14:paraId="7740BCD1" w14:textId="77777777">
        <w:trPr>
          <w:jc w:val="center"/>
        </w:trPr>
        <w:tc>
          <w:tcPr>
            <w:tcW w:w="576" w:type="dxa"/>
            <w:shd w:val="clear" w:color="auto" w:fill="1F4E79"/>
          </w:tcPr>
          <w:p w14:paraId="7B4D98CD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9216" w:type="dxa"/>
            <w:shd w:val="clear" w:color="auto" w:fill="1F4E79"/>
          </w:tcPr>
          <w:p w14:paraId="6AEBE86E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8E01A1" w14:paraId="15627650" w14:textId="77777777">
        <w:trPr>
          <w:jc w:val="center"/>
        </w:trPr>
        <w:tc>
          <w:tcPr>
            <w:tcW w:w="576" w:type="dxa"/>
          </w:tcPr>
          <w:p w14:paraId="09989DAF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9216" w:type="dxa"/>
          </w:tcPr>
          <w:p w14:paraId="3EE5EA8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At a fixed guaranteed α, </w:t>
            </w:r>
            <w:r>
              <w:rPr>
                <w:sz w:val="19"/>
              </w:rPr>
              <w:t>RAS-with-gate gives net reasoning gains over no-steering on a heterogeneous mixture, while global steering violates α (harms a measurable fraction).</w:t>
            </w:r>
          </w:p>
        </w:tc>
      </w:tr>
      <w:tr w:rsidR="008E01A1" w14:paraId="036FDBA4" w14:textId="77777777">
        <w:trPr>
          <w:jc w:val="center"/>
        </w:trPr>
        <w:tc>
          <w:tcPr>
            <w:tcW w:w="576" w:type="dxa"/>
            <w:shd w:val="clear" w:color="auto" w:fill="EAF1F8"/>
          </w:tcPr>
          <w:p w14:paraId="7D61A2EA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9216" w:type="dxa"/>
            <w:shd w:val="clear" w:color="auto" w:fill="EAF1F8"/>
          </w:tcPr>
          <w:p w14:paraId="25B3F2A1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The empirical harm rate tracks the conformal target α across α.</w:t>
            </w:r>
          </w:p>
        </w:tc>
      </w:tr>
      <w:tr w:rsidR="008E01A1" w14:paraId="7465F9CB" w14:textId="77777777">
        <w:trPr>
          <w:jc w:val="center"/>
        </w:trPr>
        <w:tc>
          <w:tcPr>
            <w:tcW w:w="576" w:type="dxa"/>
          </w:tcPr>
          <w:p w14:paraId="7549CB3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9216" w:type="dxa"/>
          </w:tcPr>
          <w:p w14:paraId="2B04DB8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Extensibility — adding bank </w:t>
            </w:r>
            <w:r>
              <w:rPr>
                <w:sz w:val="19"/>
              </w:rPr>
              <w:t>entries for a new corpus slice helps those queries with no regression elsewhere.</w:t>
            </w:r>
          </w:p>
        </w:tc>
      </w:tr>
      <w:tr w:rsidR="008E01A1" w14:paraId="38CDD2BC" w14:textId="77777777">
        <w:trPr>
          <w:jc w:val="center"/>
        </w:trPr>
        <w:tc>
          <w:tcPr>
            <w:tcW w:w="576" w:type="dxa"/>
            <w:shd w:val="clear" w:color="auto" w:fill="EAF1F8"/>
          </w:tcPr>
          <w:p w14:paraId="072CCC59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9216" w:type="dxa"/>
            <w:shd w:val="clear" w:color="auto" w:fill="EAF1F8"/>
          </w:tcPr>
          <w:p w14:paraId="5CA81F8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Negligible overhead vs demonstration-RAG (token + latency accounting).</w:t>
            </w:r>
          </w:p>
        </w:tc>
      </w:tr>
    </w:tbl>
    <w:p w14:paraId="4B1A5096" w14:textId="77777777" w:rsidR="008E01A1" w:rsidRDefault="00D541C8">
      <w:pPr>
        <w:spacing w:before="160" w:after="40"/>
      </w:pPr>
      <w:r>
        <w:rPr>
          <w:b/>
        </w:rPr>
        <w:t>Why top-tier / why tractable.</w:t>
      </w:r>
    </w:p>
    <w:p w14:paraId="4B925F9C" w14:textId="77777777" w:rsidR="008E01A1" w:rsidRDefault="00D541C8">
      <w:pPr>
        <w:pStyle w:val="ListBullet"/>
        <w:spacing w:after="60"/>
      </w:pPr>
      <w:r>
        <w:rPr>
          <w:b/>
        </w:rPr>
        <w:t xml:space="preserve">Why top-tier: </w:t>
      </w:r>
      <w:r>
        <w:t xml:space="preserve">first retrieval-augmented, extensible, no-harm steering </w:t>
      </w:r>
      <w:r>
        <w:t>framework; reframes steering's known unreliability as a routing + abstention problem; clean RAG analogy; strong efficiency.</w:t>
      </w:r>
    </w:p>
    <w:p w14:paraId="496ACAB3" w14:textId="77777777" w:rsidR="008E01A1" w:rsidRDefault="00D541C8">
      <w:pPr>
        <w:pStyle w:val="ListBullet"/>
        <w:spacing w:after="60"/>
      </w:pPr>
      <w:r>
        <w:rPr>
          <w:b/>
        </w:rPr>
        <w:t xml:space="preserve">Why 1-month-tractable: </w:t>
      </w:r>
      <w:r>
        <w:t>bank = clustered CAA/ICV vectors (public code); router = cosine-kNN to start (trivial); infra reusable; the h</w:t>
      </w:r>
      <w:r>
        <w:t>eadline experiment (heterogeneity) is a small mixed-benchmark eval.</w:t>
      </w:r>
    </w:p>
    <w:p w14:paraId="20EF0581" w14:textId="77777777" w:rsidR="008E01A1" w:rsidRDefault="008E01A1">
      <w:pPr>
        <w:pBdr>
          <w:bottom w:val="single" w:sz="6" w:space="1" w:color="2E75B6"/>
        </w:pBdr>
      </w:pPr>
    </w:p>
    <w:p w14:paraId="0CB2DC7D" w14:textId="77777777" w:rsidR="008E01A1" w:rsidRDefault="00D541C8">
      <w:pPr>
        <w:pStyle w:val="Heading1"/>
      </w:pPr>
      <w:r>
        <w:t>3. Probable Solutions (Design Space)</w:t>
      </w:r>
    </w:p>
    <w:p w14:paraId="44C16AD8" w14:textId="77777777" w:rsidR="008E01A1" w:rsidRDefault="00D541C8">
      <w:r>
        <w:rPr>
          <w:i/>
          <w:color w:val="595959"/>
        </w:rPr>
        <w:t xml:space="preserve">This is a design space to explore, not a committed solution. Components A–F can be mixed; start from the simplest defensible choice in each and </w:t>
      </w:r>
      <w:r>
        <w:rPr>
          <w:i/>
          <w:color w:val="595959"/>
        </w:rPr>
        <w:t>ablate upward.</w:t>
      </w:r>
    </w:p>
    <w:p w14:paraId="4B2CCC97" w14:textId="77777777" w:rsidR="008E01A1" w:rsidRDefault="00D541C8">
      <w:pPr>
        <w:pStyle w:val="Heading2"/>
      </w:pPr>
      <w:r>
        <w:lastRenderedPageBreak/>
        <w:t>A. Bank construction (offline, cheap)</w:t>
      </w:r>
    </w:p>
    <w:p w14:paraId="10B19AD2" w14:textId="77777777" w:rsidR="008E01A1" w:rsidRDefault="00D541C8">
      <w:r>
        <w:t>Cluster a demonstration corpus into skills (k-means on query embeddings, or use dataset/task labels). Per cluster c, compute a steering vector v_c via:</w:t>
      </w:r>
    </w:p>
    <w:p w14:paraId="088D153A" w14:textId="77777777" w:rsidR="008E01A1" w:rsidRDefault="00D541C8">
      <w:pPr>
        <w:pStyle w:val="ListBullet"/>
        <w:spacing w:after="60"/>
      </w:pPr>
      <w:r>
        <w:t>CAA mean-difference (the base primitive);</w:t>
      </w:r>
    </w:p>
    <w:p w14:paraId="2774089F" w14:textId="77777777" w:rsidR="008E01A1" w:rsidRDefault="00D541C8">
      <w:pPr>
        <w:pStyle w:val="ListBullet"/>
        <w:spacing w:after="60"/>
      </w:pPr>
      <w:r>
        <w:t>ICV — PCA</w:t>
      </w:r>
      <w:r>
        <w:t xml:space="preserve"> of h(y) − h(x) over demonstrations;</w:t>
      </w:r>
    </w:p>
    <w:p w14:paraId="297B783B" w14:textId="77777777" w:rsidR="008E01A1" w:rsidRDefault="00D541C8">
      <w:pPr>
        <w:pStyle w:val="ListBullet"/>
        <w:spacing w:after="60"/>
      </w:pPr>
      <w:r>
        <w:t>Fisher / FRE estimator (§5): variance-aware direction Σ_W⁻¹(μ⁺−μ⁻); diagonal = 1/σ weighting — more reliable per-vector. This is a clean ablation, not the main claim.</w:t>
      </w:r>
    </w:p>
    <w:p w14:paraId="00C03951" w14:textId="77777777" w:rsidR="008E01A1" w:rsidRDefault="00D541C8">
      <w:pPr>
        <w:spacing w:before="40"/>
      </w:pPr>
      <w:r>
        <w:t>Store (key_c, v_c, layer_c, σ_c) where key_c = clust</w:t>
      </w:r>
      <w:r>
        <w:t>er centroid in an embedding space and σ_c = a reliability/spread score.</w:t>
      </w:r>
    </w:p>
    <w:p w14:paraId="69638FA5" w14:textId="77777777" w:rsidR="008E01A1" w:rsidRDefault="00D541C8">
      <w:pPr>
        <w:pStyle w:val="Heading2"/>
      </w:pPr>
      <w:r>
        <w:t>B. Routing (per query) — the core algorithmic novelty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5037"/>
        <w:gridCol w:w="1787"/>
      </w:tblGrid>
      <w:tr w:rsidR="008E01A1" w14:paraId="03C2D104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B8AA820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Router signal</w:t>
            </w:r>
          </w:p>
        </w:tc>
        <w:tc>
          <w:tcPr>
            <w:tcW w:w="5760" w:type="dxa"/>
            <w:shd w:val="clear" w:color="auto" w:fill="1F4E79"/>
          </w:tcPr>
          <w:p w14:paraId="0160AA3F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w="1872" w:type="dxa"/>
            <w:shd w:val="clear" w:color="auto" w:fill="1F4E79"/>
          </w:tcPr>
          <w:p w14:paraId="746FE576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Decides</w:t>
            </w:r>
          </w:p>
        </w:tc>
      </w:tr>
      <w:tr w:rsidR="008E01A1" w14:paraId="1D73A174" w14:textId="77777777">
        <w:trPr>
          <w:jc w:val="center"/>
        </w:trPr>
        <w:tc>
          <w:tcPr>
            <w:tcW w:w="2160" w:type="dxa"/>
          </w:tcPr>
          <w:p w14:paraId="63D929B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Embedding kNN</w:t>
            </w:r>
          </w:p>
        </w:tc>
        <w:tc>
          <w:tcPr>
            <w:tcW w:w="5760" w:type="dxa"/>
          </w:tcPr>
          <w:p w14:paraId="1D234D1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cosine(query embedding, bank keys); soft top-k weights w_c = softmax(sim/τ)</w:t>
            </w:r>
          </w:p>
        </w:tc>
        <w:tc>
          <w:tcPr>
            <w:tcW w:w="1872" w:type="dxa"/>
          </w:tcPr>
          <w:p w14:paraId="6E50665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which (</w:t>
            </w:r>
            <w:r>
              <w:rPr>
                <w:sz w:val="19"/>
              </w:rPr>
              <w:t>baseline)</w:t>
            </w:r>
          </w:p>
        </w:tc>
      </w:tr>
      <w:tr w:rsidR="008E01A1" w14:paraId="536E3848" w14:textId="77777777">
        <w:trPr>
          <w:jc w:val="center"/>
        </w:trPr>
        <w:tc>
          <w:tcPr>
            <w:tcW w:w="2160" w:type="dxa"/>
            <w:shd w:val="clear" w:color="auto" w:fill="EAF1F8"/>
          </w:tcPr>
          <w:p w14:paraId="7805A44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Model-internal</w:t>
            </w:r>
          </w:p>
        </w:tc>
        <w:tc>
          <w:tcPr>
            <w:tcW w:w="5760" w:type="dxa"/>
            <w:shd w:val="clear" w:color="auto" w:fill="EAF1F8"/>
          </w:tcPr>
          <w:p w14:paraId="0B7CEA8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use the LLM's own early-layer hidden state as the query key (no external encoder; ties routing to the steered space)</w:t>
            </w:r>
          </w:p>
        </w:tc>
        <w:tc>
          <w:tcPr>
            <w:tcW w:w="1872" w:type="dxa"/>
            <w:shd w:val="clear" w:color="auto" w:fill="EAF1F8"/>
          </w:tcPr>
          <w:p w14:paraId="523EEF4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which (cheaper)</w:t>
            </w:r>
          </w:p>
        </w:tc>
      </w:tr>
      <w:tr w:rsidR="008E01A1" w14:paraId="4AE3E608" w14:textId="77777777">
        <w:trPr>
          <w:jc w:val="center"/>
        </w:trPr>
        <w:tc>
          <w:tcPr>
            <w:tcW w:w="2160" w:type="dxa"/>
          </w:tcPr>
          <w:p w14:paraId="4671F28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Uncertainty / confidence</w:t>
            </w:r>
          </w:p>
        </w:tc>
        <w:tc>
          <w:tcPr>
            <w:tcW w:w="5760" w:type="dxa"/>
          </w:tcPr>
          <w:p w14:paraId="1C73079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predictive entropy: high ⇒ steer (intervene where unsure), low ⇒ </w:t>
            </w:r>
            <w:r>
              <w:rPr>
                <w:sz w:val="19"/>
              </w:rPr>
              <w:t>leave alone</w:t>
            </w:r>
          </w:p>
        </w:tc>
        <w:tc>
          <w:tcPr>
            <w:tcW w:w="1872" w:type="dxa"/>
          </w:tcPr>
          <w:p w14:paraId="03F78CD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when</w:t>
            </w:r>
          </w:p>
        </w:tc>
      </w:tr>
      <w:tr w:rsidR="008E01A1" w14:paraId="32D66E04" w14:textId="77777777">
        <w:trPr>
          <w:jc w:val="center"/>
        </w:trPr>
        <w:tc>
          <w:tcPr>
            <w:tcW w:w="2160" w:type="dxa"/>
            <w:shd w:val="clear" w:color="auto" w:fill="EAF1F8"/>
          </w:tcPr>
          <w:p w14:paraId="23FCA26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Interpretability (SAE)</w:t>
            </w:r>
          </w:p>
        </w:tc>
        <w:tc>
          <w:tcPr>
            <w:tcW w:w="5760" w:type="dxa"/>
            <w:shd w:val="clear" w:color="auto" w:fill="EAF1F8"/>
          </w:tcPr>
          <w:p w14:paraId="2DEE95D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map query to the SAE feature(s) it activates; retrieve the vector indexed by that feature</w:t>
            </w:r>
          </w:p>
        </w:tc>
        <w:tc>
          <w:tcPr>
            <w:tcW w:w="1872" w:type="dxa"/>
            <w:shd w:val="clear" w:color="auto" w:fill="EAF1F8"/>
          </w:tcPr>
          <w:p w14:paraId="34F840B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which (interpretable)</w:t>
            </w:r>
          </w:p>
        </w:tc>
      </w:tr>
    </w:tbl>
    <w:p w14:paraId="67474D44" w14:textId="77777777" w:rsidR="008E01A1" w:rsidRDefault="00D541C8">
      <w:pPr>
        <w:pStyle w:val="Heading2"/>
      </w:pPr>
      <w:r>
        <w:t>C. Composition (when multiple skills fire)</w:t>
      </w:r>
    </w:p>
    <w:p w14:paraId="356C2449" w14:textId="77777777" w:rsidR="008E01A1" w:rsidRDefault="00D541C8">
      <w:r>
        <w:t xml:space="preserve">z = h + Σ_c w_c · v_c, but naive linear sums </w:t>
      </w:r>
      <w:r>
        <w:t>interfere. Options: orthogonalization / subspace allocation (MAT-Steer, MSRS) or gated/non-linear composition (K-Steering). Keep top-k small (k ≤ 2–3).</w:t>
      </w:r>
    </w:p>
    <w:p w14:paraId="10B8E4A8" w14:textId="77777777" w:rsidR="008E01A1" w:rsidRDefault="00D541C8">
      <w:pPr>
        <w:pStyle w:val="Heading2"/>
      </w:pPr>
      <w:r>
        <w:t>D. Injection site</w:t>
      </w:r>
    </w:p>
    <w:p w14:paraId="2028B63C" w14:textId="77777777" w:rsidR="008E01A1" w:rsidRDefault="00D541C8">
      <w:r>
        <w:t xml:space="preserve">Single middle layer to start; optionally an input-dependent layer (à la “Where to </w:t>
      </w:r>
      <w:r>
        <w:t>Steer”).</w:t>
      </w:r>
    </w:p>
    <w:p w14:paraId="54E3CDEC" w14:textId="77777777" w:rsidR="008E01A1" w:rsidRDefault="00D541C8">
      <w:pPr>
        <w:pStyle w:val="Heading2"/>
      </w:pPr>
      <w:r>
        <w:t>E. No-harm gate (headline safety property)</w:t>
      </w:r>
    </w:p>
    <w:p w14:paraId="425FC46E" w14:textId="77777777" w:rsidR="008E01A1" w:rsidRDefault="00D541C8">
      <w:r>
        <w:t>Define a confidence ρ(query) from router margin and/or model signal. If ρ is below threshold, abstain (apply nothing). Calibrate the threshold by conformal risk control on held-out data so the expected ha</w:t>
      </w:r>
      <w:r>
        <w:t>rm rate ≤ α. This directly answers the “steering can hurt” critique.</w:t>
      </w:r>
    </w:p>
    <w:p w14:paraId="6EFF86CD" w14:textId="77777777" w:rsidR="008E01A1" w:rsidRDefault="00D541C8">
      <w:pPr>
        <w:pStyle w:val="Heading2"/>
      </w:pPr>
      <w:r>
        <w:t>F. Math framing to lean on</w:t>
      </w:r>
    </w:p>
    <w:p w14:paraId="5BE35451" w14:textId="77777777" w:rsidR="008E01A1" w:rsidRDefault="00D541C8">
      <w:pPr>
        <w:pStyle w:val="ListBullet"/>
        <w:spacing w:after="60"/>
      </w:pPr>
      <w:r>
        <w:rPr>
          <w:b/>
        </w:rPr>
        <w:t xml:space="preserve">Routing = </w:t>
      </w:r>
      <w:r>
        <w:t>a non-parametric mixture-of-steering-experts (kernel / Nadaraya–Watson weights over bank keys);</w:t>
      </w:r>
    </w:p>
    <w:p w14:paraId="3B268C5B" w14:textId="77777777" w:rsidR="008E01A1" w:rsidRDefault="00D541C8">
      <w:pPr>
        <w:pStyle w:val="ListBullet"/>
        <w:spacing w:after="60"/>
      </w:pPr>
      <w:r>
        <w:rPr>
          <w:b/>
        </w:rPr>
        <w:t xml:space="preserve">Composition = </w:t>
      </w:r>
      <w:r>
        <w:t>constrained vector addition under orthog</w:t>
      </w:r>
      <w:r>
        <w:t>onality;</w:t>
      </w:r>
    </w:p>
    <w:p w14:paraId="50E34C3C" w14:textId="77777777" w:rsidR="008E01A1" w:rsidRDefault="00D541C8">
      <w:pPr>
        <w:pStyle w:val="ListBullet"/>
        <w:spacing w:after="60"/>
      </w:pPr>
      <w:r>
        <w:rPr>
          <w:b/>
        </w:rPr>
        <w:t xml:space="preserve">Gating = </w:t>
      </w:r>
      <w:r>
        <w:t>a selective-prediction / risk–coverage problem (abstain to bound risk).</w:t>
      </w:r>
    </w:p>
    <w:p w14:paraId="3AF07715" w14:textId="77777777" w:rsidR="008E01A1" w:rsidRDefault="00D541C8">
      <w:pPr>
        <w:spacing w:before="40"/>
      </w:pPr>
      <w:r>
        <w:rPr>
          <w:i/>
        </w:rPr>
        <w:t>These give the paper rigor without any new training.</w:t>
      </w:r>
    </w:p>
    <w:p w14:paraId="36153FF0" w14:textId="77777777" w:rsidR="008E01A1" w:rsidRDefault="008E01A1">
      <w:pPr>
        <w:pBdr>
          <w:bottom w:val="single" w:sz="6" w:space="1" w:color="2E75B6"/>
        </w:pBdr>
      </w:pPr>
    </w:p>
    <w:p w14:paraId="6842B5D3" w14:textId="77777777" w:rsidR="008E01A1" w:rsidRDefault="00D541C8">
      <w:pPr>
        <w:pStyle w:val="Heading1"/>
      </w:pPr>
      <w:r>
        <w:t>4. Experiments to Start ASAP</w:t>
      </w:r>
    </w:p>
    <w:p w14:paraId="62463F1C" w14:textId="77777777" w:rsidR="008E01A1" w:rsidRDefault="00D541C8">
      <w:r>
        <w:rPr>
          <w:i/>
          <w:color w:val="595959"/>
        </w:rPr>
        <w:t>Ordered by priority. The first three are the “does-the-thesis-live” gate — begin im</w:t>
      </w:r>
      <w:r>
        <w:rPr>
          <w:i/>
          <w:color w:val="595959"/>
        </w:rPr>
        <w:t>mediately, in parallel where possible.</w:t>
      </w:r>
    </w:p>
    <w:p w14:paraId="3BEFFEBF" w14:textId="77777777" w:rsidR="008E01A1" w:rsidRDefault="00D541C8">
      <w:pPr>
        <w:pStyle w:val="Heading2"/>
      </w:pPr>
      <w:r>
        <w:t>Immediate (week 1) — stand up the spine</w:t>
      </w:r>
    </w:p>
    <w:p w14:paraId="010CBC9B" w14:textId="77777777" w:rsidR="008E01A1" w:rsidRDefault="00D541C8">
      <w:pPr>
        <w:pStyle w:val="ListNumber"/>
        <w:spacing w:after="60"/>
      </w:pPr>
      <w:r>
        <w:rPr>
          <w:b/>
        </w:rPr>
        <w:t xml:space="preserve">E0 · Sanity reproduction. </w:t>
      </w:r>
      <w:r>
        <w:t>Reproduce one CAA result + one PDS number on a single reasoning benchmark (e.g. GSM8K). This is a correctness gate before building anything new.</w:t>
      </w:r>
    </w:p>
    <w:p w14:paraId="60AC4A44" w14:textId="77777777" w:rsidR="008E01A1" w:rsidRDefault="00D541C8">
      <w:pPr>
        <w:pStyle w:val="ListNumber"/>
        <w:spacing w:after="60"/>
      </w:pPr>
      <w:r>
        <w:rPr>
          <w:b/>
        </w:rPr>
        <w:t>E1 · B</w:t>
      </w:r>
      <w:r>
        <w:rPr>
          <w:b/>
        </w:rPr>
        <w:t xml:space="preserve">ank pipeline (small). </w:t>
      </w:r>
      <w:r>
        <w:t>On a small corpus slice: corpus → embed queries → k-means (k≈50–100) → one CAA/ICV vector + key + reliability score per cluster. Timebox this — it is the riskiest engineering.</w:t>
      </w:r>
    </w:p>
    <w:p w14:paraId="4CAA093E" w14:textId="77777777" w:rsidR="008E01A1" w:rsidRDefault="00D541C8">
      <w:pPr>
        <w:pStyle w:val="ListNumber"/>
        <w:spacing w:after="60"/>
      </w:pPr>
      <w:r>
        <w:rPr>
          <w:b/>
        </w:rPr>
        <w:t xml:space="preserve">E2 · Conformal gate prototype. </w:t>
      </w:r>
      <w:r>
        <w:t>Define harm = (baseline-cor</w:t>
      </w:r>
      <w:r>
        <w:t>rect → steered-wrong). Build a confidence score from router margin + a model signal (NOT entropy alone). Calibrate the steer/abstain threshold by conformal risk control on held-out calibration data.</w:t>
      </w:r>
    </w:p>
    <w:p w14:paraId="32315C1A" w14:textId="77777777" w:rsidR="008E01A1" w:rsidRDefault="00D541C8">
      <w:pPr>
        <w:pStyle w:val="Heading2"/>
      </w:pPr>
      <w:r>
        <w:t>The headline figure (weeks 2–3)</w:t>
      </w:r>
    </w:p>
    <w:p w14:paraId="2AA71D59" w14:textId="77777777" w:rsidR="008E01A1" w:rsidRDefault="00D541C8">
      <w:pPr>
        <w:pStyle w:val="ListNumber"/>
        <w:spacing w:after="60"/>
      </w:pPr>
      <w:r>
        <w:rPr>
          <w:b/>
        </w:rPr>
        <w:t>E3 · Risk–coverage fronti</w:t>
      </w:r>
      <w:r>
        <w:rPr>
          <w:b/>
        </w:rPr>
        <w:t xml:space="preserve">er. </w:t>
      </w:r>
      <w:r>
        <w:t>RAS-gate vs global-steering vs no-steer on a heterogeneous mixture. Show empirical harm rate ≤ α (tracks the conformal target) while global steering violates α. This figure decides whether the thesis lives.</w:t>
      </w:r>
    </w:p>
    <w:p w14:paraId="681DB93E" w14:textId="77777777" w:rsidR="008E01A1" w:rsidRDefault="00D541C8">
      <w:pPr>
        <w:pStyle w:val="Heading2"/>
      </w:pPr>
      <w:r>
        <w:t>Follow-on ablations (weeks 3–4)</w:t>
      </w:r>
    </w:p>
    <w:p w14:paraId="57587E87" w14:textId="77777777" w:rsidR="008E01A1" w:rsidRDefault="00D541C8">
      <w:pPr>
        <w:pStyle w:val="ListNumber"/>
        <w:spacing w:after="60"/>
      </w:pPr>
      <w:r>
        <w:rPr>
          <w:b/>
        </w:rPr>
        <w:t>E4 · Router c</w:t>
      </w:r>
      <w:r>
        <w:rPr>
          <w:b/>
        </w:rPr>
        <w:t xml:space="preserve">omparison: </w:t>
      </w:r>
      <w:r>
        <w:t>embedding-kNN vs model-internal-state vs SAE-feature.</w:t>
      </w:r>
    </w:p>
    <w:p w14:paraId="78FAD64F" w14:textId="77777777" w:rsidR="008E01A1" w:rsidRDefault="00D541C8">
      <w:pPr>
        <w:pStyle w:val="ListNumber"/>
        <w:spacing w:after="60"/>
      </w:pPr>
      <w:r>
        <w:rPr>
          <w:b/>
        </w:rPr>
        <w:t xml:space="preserve">E5 · Composition: </w:t>
      </w:r>
      <w:r>
        <w:t>multi-skill queries — orthogonalized vs naive, top-k ≤ 3; ablate bank granularity k.</w:t>
      </w:r>
    </w:p>
    <w:p w14:paraId="49FC89A9" w14:textId="77777777" w:rsidR="008E01A1" w:rsidRDefault="00D541C8">
      <w:pPr>
        <w:pStyle w:val="ListNumber"/>
        <w:spacing w:after="60"/>
      </w:pPr>
      <w:r>
        <w:rPr>
          <w:b/>
        </w:rPr>
        <w:t xml:space="preserve">E6 · Extensibility: </w:t>
      </w:r>
      <w:r>
        <w:t>add a new corpus slice → new bank entries, no retraining → gain ther</w:t>
      </w:r>
      <w:r>
        <w:t>e, no regression elsewhere, α still held; unseen-but-related routing.</w:t>
      </w:r>
    </w:p>
    <w:p w14:paraId="783A070F" w14:textId="77777777" w:rsidR="008E01A1" w:rsidRDefault="00D541C8">
      <w:pPr>
        <w:pStyle w:val="ListNumber"/>
        <w:spacing w:after="60"/>
      </w:pPr>
      <w:r>
        <w:rPr>
          <w:b/>
        </w:rPr>
        <w:t xml:space="preserve">E7 · Fisher/FRE vs CAA bank: </w:t>
      </w:r>
      <w:r>
        <w:t>does a variance-aware (Fisher/FRE) bank beat a mean-diff (CAA) bank?</w:t>
      </w:r>
    </w:p>
    <w:p w14:paraId="652DD584" w14:textId="77777777" w:rsidR="008E01A1" w:rsidRDefault="00D541C8">
      <w:pPr>
        <w:pStyle w:val="Heading2"/>
      </w:pPr>
      <w:r>
        <w:t>Experimental matrix</w:t>
      </w:r>
    </w:p>
    <w:p w14:paraId="2A650797" w14:textId="77777777" w:rsidR="008E01A1" w:rsidRDefault="00D541C8">
      <w:pPr>
        <w:spacing w:after="40"/>
      </w:pPr>
      <w:r>
        <w:rPr>
          <w:b/>
        </w:rPr>
        <w:t>Baselines.</w:t>
      </w:r>
    </w:p>
    <w:p w14:paraId="00E0EF25" w14:textId="77777777" w:rsidR="008E01A1" w:rsidRDefault="00D541C8">
      <w:pPr>
        <w:pStyle w:val="ListBullet"/>
        <w:spacing w:after="60"/>
      </w:pPr>
      <w:r>
        <w:t>no-steer · best global CAA/ICV · PDS · K-CAST · demonstra</w:t>
      </w:r>
      <w:r>
        <w:t>tion-RAG (EPR / kNN-prompting, to expose the context-token cost) · oracle routing (skyline) · ungated RAS (to show the gate's value).</w:t>
      </w:r>
    </w:p>
    <w:p w14:paraId="50431643" w14:textId="77777777" w:rsidR="008E01A1" w:rsidRDefault="00D541C8">
      <w:pPr>
        <w:spacing w:before="80" w:after="40"/>
      </w:pPr>
      <w:r>
        <w:rPr>
          <w:b/>
        </w:rPr>
        <w:t>Models.</w:t>
      </w:r>
    </w:p>
    <w:p w14:paraId="38B9EE8B" w14:textId="77777777" w:rsidR="008E01A1" w:rsidRDefault="00D541C8">
      <w:pPr>
        <w:pStyle w:val="ListBullet"/>
        <w:spacing w:after="60"/>
      </w:pPr>
      <w:r>
        <w:t>Llama-3.1-8B · Qwen2.5-7B · (+ a reasoning-distilled model).</w:t>
      </w:r>
    </w:p>
    <w:p w14:paraId="50012682" w14:textId="77777777" w:rsidR="008E01A1" w:rsidRDefault="00D541C8">
      <w:pPr>
        <w:spacing w:before="80" w:after="40"/>
      </w:pPr>
      <w:r>
        <w:rPr>
          <w:b/>
        </w:rPr>
        <w:t>Metrics.</w:t>
      </w:r>
    </w:p>
    <w:p w14:paraId="572F252A" w14:textId="77777777" w:rsidR="008E01A1" w:rsidRDefault="00D541C8">
      <w:pPr>
        <w:pStyle w:val="ListBullet"/>
        <w:spacing w:after="60"/>
      </w:pPr>
      <w:r>
        <w:t xml:space="preserve">empirical-harm-rate@α and coverage (the </w:t>
      </w:r>
      <w:r>
        <w:t>headline risk–coverage curve) · per-skill &amp; aggregate accuracy · routing accuracy · cost (extra tokens, latency) · ≥5 seeds.</w:t>
      </w:r>
    </w:p>
    <w:p w14:paraId="46B1913A" w14:textId="77777777" w:rsidR="008E01A1" w:rsidRDefault="008E01A1">
      <w:pPr>
        <w:pBdr>
          <w:bottom w:val="single" w:sz="6" w:space="1" w:color="2E75B6"/>
        </w:pBdr>
      </w:pPr>
    </w:p>
    <w:p w14:paraId="251D3729" w14:textId="77777777" w:rsidR="008E01A1" w:rsidRDefault="00D541C8">
      <w:pPr>
        <w:pStyle w:val="Heading1"/>
      </w:pPr>
      <w:r>
        <w:t>5. GitHub Repos to Implement / Reuse</w:t>
      </w:r>
    </w:p>
    <w:p w14:paraId="6CD9F89B" w14:textId="77777777" w:rsidR="008E01A1" w:rsidRDefault="00D541C8">
      <w:r>
        <w:rPr>
          <w:i/>
          <w:color w:val="595959"/>
        </w:rPr>
        <w:t>Reuse existing infra wherever possible — the bank, vectors, and intervention hooks all have p</w:t>
      </w:r>
      <w:r>
        <w:rPr>
          <w:i/>
          <w:color w:val="595959"/>
        </w:rPr>
        <w:t>ublic implementations. Verify the exact URL/commit before depending on each.</w:t>
      </w:r>
    </w:p>
    <w:p w14:paraId="012354EA" w14:textId="77777777" w:rsidR="008E01A1" w:rsidRDefault="00D541C8">
      <w:pPr>
        <w:pStyle w:val="Heading2"/>
      </w:pPr>
      <w:r>
        <w:t>Core steering &amp; intervention infra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0"/>
        <w:gridCol w:w="4042"/>
        <w:gridCol w:w="2604"/>
      </w:tblGrid>
      <w:tr w:rsidR="008E01A1" w14:paraId="775C68DE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437D3933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w="4896" w:type="dxa"/>
            <w:shd w:val="clear" w:color="auto" w:fill="1F4E79"/>
          </w:tcPr>
          <w:p w14:paraId="3608291A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 in RAS</w:t>
            </w:r>
          </w:p>
        </w:tc>
        <w:tc>
          <w:tcPr>
            <w:tcW w:w="2448" w:type="dxa"/>
            <w:shd w:val="clear" w:color="auto" w:fill="1F4E79"/>
          </w:tcPr>
          <w:p w14:paraId="721DAC00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Pointer</w:t>
            </w:r>
          </w:p>
        </w:tc>
      </w:tr>
      <w:tr w:rsidR="008E01A1" w14:paraId="0CC84E0C" w14:textId="77777777">
        <w:trPr>
          <w:jc w:val="center"/>
        </w:trPr>
        <w:tc>
          <w:tcPr>
            <w:tcW w:w="2736" w:type="dxa"/>
          </w:tcPr>
          <w:p w14:paraId="2F300A01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pyreft / pyvene (Stanford NLP)</w:t>
            </w:r>
          </w:p>
        </w:tc>
        <w:tc>
          <w:tcPr>
            <w:tcW w:w="4896" w:type="dxa"/>
          </w:tcPr>
          <w:p w14:paraId="60FC9DD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Representation fine-tuning + general activation intervention hooks; clean </w:t>
            </w:r>
            <w:r>
              <w:rPr>
                <w:sz w:val="19"/>
              </w:rPr>
              <w:t>injection-site plumbing.</w:t>
            </w:r>
          </w:p>
        </w:tc>
        <w:tc>
          <w:tcPr>
            <w:tcW w:w="2448" w:type="dxa"/>
          </w:tcPr>
          <w:p w14:paraId="5640BE1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github.com/stanfordnlp/pyreft · /pyvene</w:t>
            </w:r>
          </w:p>
        </w:tc>
      </w:tr>
      <w:tr w:rsidR="008E01A1" w14:paraId="3A9C763D" w14:textId="77777777">
        <w:trPr>
          <w:jc w:val="center"/>
        </w:trPr>
        <w:tc>
          <w:tcPr>
            <w:tcW w:w="2736" w:type="dxa"/>
            <w:shd w:val="clear" w:color="auto" w:fill="EAF1F8"/>
          </w:tcPr>
          <w:p w14:paraId="7B66DADA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CAA (Rimsky et al.)</w:t>
            </w:r>
          </w:p>
        </w:tc>
        <w:tc>
          <w:tcPr>
            <w:tcW w:w="4896" w:type="dxa"/>
            <w:shd w:val="clear" w:color="auto" w:fill="EAF1F8"/>
          </w:tcPr>
          <w:p w14:paraId="33E6DBC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Reference implementation of mean-difference steering vectors — the base bank entry.</w:t>
            </w:r>
          </w:p>
        </w:tc>
        <w:tc>
          <w:tcPr>
            <w:tcW w:w="2448" w:type="dxa"/>
            <w:shd w:val="clear" w:color="auto" w:fill="EAF1F8"/>
          </w:tcPr>
          <w:p w14:paraId="3A8926A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github.com/nrimsky/CAA</w:t>
            </w:r>
          </w:p>
        </w:tc>
      </w:tr>
      <w:tr w:rsidR="008E01A1" w14:paraId="53DD46B7" w14:textId="77777777">
        <w:trPr>
          <w:jc w:val="center"/>
        </w:trPr>
        <w:tc>
          <w:tcPr>
            <w:tcW w:w="2736" w:type="dxa"/>
          </w:tcPr>
          <w:p w14:paraId="1F70C40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In-Context Vectors (ICV)</w:t>
            </w:r>
          </w:p>
        </w:tc>
        <w:tc>
          <w:tcPr>
            <w:tcW w:w="4896" w:type="dxa"/>
          </w:tcPr>
          <w:p w14:paraId="441CE70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demonstration→vector primitive (PCA of h(y)−h(x)); already in your directory.</w:t>
            </w:r>
          </w:p>
        </w:tc>
        <w:tc>
          <w:tcPr>
            <w:tcW w:w="2448" w:type="dxa"/>
          </w:tcPr>
          <w:p w14:paraId="23D8EBD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github.com/shengliu66/ICV</w:t>
            </w:r>
          </w:p>
        </w:tc>
      </w:tr>
      <w:tr w:rsidR="008E01A1" w14:paraId="6E83D1C0" w14:textId="77777777">
        <w:trPr>
          <w:jc w:val="center"/>
        </w:trPr>
        <w:tc>
          <w:tcPr>
            <w:tcW w:w="2736" w:type="dxa"/>
            <w:shd w:val="clear" w:color="auto" w:fill="EAF1F8"/>
          </w:tcPr>
          <w:p w14:paraId="6AEEB49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EasySteer</w:t>
            </w:r>
          </w:p>
        </w:tc>
        <w:tc>
          <w:tcPr>
            <w:tcW w:w="4896" w:type="dxa"/>
            <w:shd w:val="clear" w:color="auto" w:fill="EAF1F8"/>
          </w:tcPr>
          <w:p w14:paraId="6293FEF1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static library of precomputed vectors over 8 domains; reusable as bank infra (note: manual selection, no learned router — that's our wedge).</w:t>
            </w:r>
          </w:p>
        </w:tc>
        <w:tc>
          <w:tcPr>
            <w:tcW w:w="2448" w:type="dxa"/>
            <w:shd w:val="clear" w:color="auto" w:fill="EAF1F8"/>
          </w:tcPr>
          <w:p w14:paraId="62A852F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search: EasySteer (arXiv 2509.25175)</w:t>
            </w:r>
          </w:p>
        </w:tc>
      </w:tr>
      <w:tr w:rsidR="008E01A1" w14:paraId="3F7BE987" w14:textId="77777777">
        <w:trPr>
          <w:jc w:val="center"/>
        </w:trPr>
        <w:tc>
          <w:tcPr>
            <w:tcW w:w="2736" w:type="dxa"/>
          </w:tcPr>
          <w:p w14:paraId="5212B4E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repeng (vgel)</w:t>
            </w:r>
          </w:p>
        </w:tc>
        <w:tc>
          <w:tcPr>
            <w:tcW w:w="4896" w:type="dxa"/>
          </w:tcPr>
          <w:p w14:paraId="32B2C90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Lightweight representation-engineering / control-vector training; fast prototyping of bank vectors.</w:t>
            </w:r>
          </w:p>
        </w:tc>
        <w:tc>
          <w:tcPr>
            <w:tcW w:w="2448" w:type="dxa"/>
          </w:tcPr>
          <w:p w14:paraId="0FD6D37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github.com/vgel/repeng</w:t>
            </w:r>
          </w:p>
        </w:tc>
      </w:tr>
    </w:tbl>
    <w:p w14:paraId="0FBAC3B3" w14:textId="77777777" w:rsidR="008E01A1" w:rsidRDefault="00D541C8">
      <w:pPr>
        <w:pStyle w:val="Heading2"/>
      </w:pPr>
      <w:r>
        <w:t>Routing, SAE features &amp; 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3684"/>
        <w:gridCol w:w="2958"/>
      </w:tblGrid>
      <w:tr w:rsidR="008E01A1" w14:paraId="5A1E338B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0AF273D6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w="4896" w:type="dxa"/>
            <w:shd w:val="clear" w:color="auto" w:fill="1F4E79"/>
          </w:tcPr>
          <w:p w14:paraId="12528900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 in RAS</w:t>
            </w:r>
          </w:p>
        </w:tc>
        <w:tc>
          <w:tcPr>
            <w:tcW w:w="2448" w:type="dxa"/>
            <w:shd w:val="clear" w:color="auto" w:fill="1F4E79"/>
          </w:tcPr>
          <w:p w14:paraId="035E7795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Pointer</w:t>
            </w:r>
          </w:p>
        </w:tc>
      </w:tr>
      <w:tr w:rsidR="008E01A1" w14:paraId="546BF312" w14:textId="77777777">
        <w:trPr>
          <w:jc w:val="center"/>
        </w:trPr>
        <w:tc>
          <w:tcPr>
            <w:tcW w:w="2736" w:type="dxa"/>
          </w:tcPr>
          <w:p w14:paraId="53AC3FF9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sentence-transformers</w:t>
            </w:r>
          </w:p>
        </w:tc>
        <w:tc>
          <w:tcPr>
            <w:tcW w:w="4896" w:type="dxa"/>
          </w:tcPr>
          <w:p w14:paraId="121F238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query embeddings for the kNN router and cluster keys.</w:t>
            </w:r>
          </w:p>
        </w:tc>
        <w:tc>
          <w:tcPr>
            <w:tcW w:w="2448" w:type="dxa"/>
          </w:tcPr>
          <w:p w14:paraId="4FA3A7DF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github.com/UKPLab/sentence-transformers</w:t>
            </w:r>
          </w:p>
        </w:tc>
      </w:tr>
      <w:tr w:rsidR="008E01A1" w14:paraId="6F38028A" w14:textId="77777777">
        <w:trPr>
          <w:jc w:val="center"/>
        </w:trPr>
        <w:tc>
          <w:tcPr>
            <w:tcW w:w="2736" w:type="dxa"/>
            <w:shd w:val="clear" w:color="auto" w:fill="EAF1F8"/>
          </w:tcPr>
          <w:p w14:paraId="4C58EA4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FAISS</w:t>
            </w:r>
          </w:p>
        </w:tc>
        <w:tc>
          <w:tcPr>
            <w:tcW w:w="4896" w:type="dxa"/>
            <w:shd w:val="clear" w:color="auto" w:fill="EAF1F8"/>
          </w:tcPr>
          <w:p w14:paraId="0A219A5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fast cosine/inner-product lookup over the bank keys.</w:t>
            </w:r>
          </w:p>
        </w:tc>
        <w:tc>
          <w:tcPr>
            <w:tcW w:w="2448" w:type="dxa"/>
            <w:shd w:val="clear" w:color="auto" w:fill="EAF1F8"/>
          </w:tcPr>
          <w:p w14:paraId="462AB39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github.com/facebookresearch/faiss</w:t>
            </w:r>
          </w:p>
        </w:tc>
      </w:tr>
      <w:tr w:rsidR="008E01A1" w14:paraId="66F78FB9" w14:textId="77777777">
        <w:trPr>
          <w:jc w:val="center"/>
        </w:trPr>
        <w:tc>
          <w:tcPr>
            <w:tcW w:w="2736" w:type="dxa"/>
          </w:tcPr>
          <w:p w14:paraId="52C656C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SAE Lens / sae_lens</w:t>
            </w:r>
          </w:p>
        </w:tc>
        <w:tc>
          <w:tcPr>
            <w:tcW w:w="4896" w:type="dxa"/>
          </w:tcPr>
          <w:p w14:paraId="1DFCDB41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pretrained sparse </w:t>
            </w:r>
            <w:r>
              <w:rPr>
                <w:sz w:val="19"/>
              </w:rPr>
              <w:t>autoencoders for the interpretability router (map query → active feature → indexed vector).</w:t>
            </w:r>
          </w:p>
        </w:tc>
        <w:tc>
          <w:tcPr>
            <w:tcW w:w="2448" w:type="dxa"/>
          </w:tcPr>
          <w:p w14:paraId="08740BD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github.com/jbloomAus/SAELens</w:t>
            </w:r>
          </w:p>
        </w:tc>
      </w:tr>
      <w:tr w:rsidR="008E01A1" w14:paraId="2E29F69C" w14:textId="77777777">
        <w:trPr>
          <w:jc w:val="center"/>
        </w:trPr>
        <w:tc>
          <w:tcPr>
            <w:tcW w:w="2736" w:type="dxa"/>
            <w:shd w:val="clear" w:color="auto" w:fill="EAF1F8"/>
          </w:tcPr>
          <w:p w14:paraId="42518AC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MAT-Steer / K-Steering</w:t>
            </w:r>
          </w:p>
        </w:tc>
        <w:tc>
          <w:tcPr>
            <w:tcW w:w="4896" w:type="dxa"/>
            <w:shd w:val="clear" w:color="auto" w:fill="EAF1F8"/>
          </w:tcPr>
          <w:p w14:paraId="4D4563E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orthogonalized / gated multi-attribute composition references.</w:t>
            </w:r>
          </w:p>
        </w:tc>
        <w:tc>
          <w:tcPr>
            <w:tcW w:w="2448" w:type="dxa"/>
            <w:shd w:val="clear" w:color="auto" w:fill="EAF1F8"/>
          </w:tcPr>
          <w:p w14:paraId="7A15B76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search by paper (2502.12446 / 2505.24535)</w:t>
            </w:r>
          </w:p>
        </w:tc>
      </w:tr>
    </w:tbl>
    <w:p w14:paraId="1AE692D2" w14:textId="77777777" w:rsidR="008E01A1" w:rsidRDefault="00D541C8">
      <w:pPr>
        <w:pStyle w:val="Heading2"/>
      </w:pPr>
      <w:r>
        <w:t>Confo</w:t>
      </w:r>
      <w:r>
        <w:t>rmal / selective-prediction (the headline math)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151"/>
        <w:gridCol w:w="2896"/>
      </w:tblGrid>
      <w:tr w:rsidR="008E01A1" w14:paraId="0013969C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1A9B3518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w="5328" w:type="dxa"/>
            <w:shd w:val="clear" w:color="auto" w:fill="1F4E79"/>
          </w:tcPr>
          <w:p w14:paraId="4F50930A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Use in RAS</w:t>
            </w:r>
          </w:p>
        </w:tc>
        <w:tc>
          <w:tcPr>
            <w:tcW w:w="2448" w:type="dxa"/>
            <w:shd w:val="clear" w:color="auto" w:fill="1F4E79"/>
          </w:tcPr>
          <w:p w14:paraId="6125BEBF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Pointer</w:t>
            </w:r>
          </w:p>
        </w:tc>
      </w:tr>
      <w:tr w:rsidR="008E01A1" w14:paraId="12C1DE97" w14:textId="77777777">
        <w:trPr>
          <w:jc w:val="center"/>
        </w:trPr>
        <w:tc>
          <w:tcPr>
            <w:tcW w:w="2304" w:type="dxa"/>
          </w:tcPr>
          <w:p w14:paraId="0A857D6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TorchCP</w:t>
            </w:r>
          </w:p>
        </w:tc>
        <w:tc>
          <w:tcPr>
            <w:tcW w:w="5328" w:type="dxa"/>
          </w:tcPr>
          <w:p w14:paraId="3E28514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conformal prediction in PyTorch — risk control for the steer/abstain gate.</w:t>
            </w:r>
          </w:p>
        </w:tc>
        <w:tc>
          <w:tcPr>
            <w:tcW w:w="2448" w:type="dxa"/>
          </w:tcPr>
          <w:p w14:paraId="2BC3D4A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github.com/ml-stat-Sustech/TorchCP</w:t>
            </w:r>
          </w:p>
        </w:tc>
      </w:tr>
      <w:tr w:rsidR="008E01A1" w14:paraId="692DB4AE" w14:textId="77777777">
        <w:trPr>
          <w:jc w:val="center"/>
        </w:trPr>
        <w:tc>
          <w:tcPr>
            <w:tcW w:w="2304" w:type="dxa"/>
            <w:shd w:val="clear" w:color="auto" w:fill="EAF1F8"/>
          </w:tcPr>
          <w:p w14:paraId="32850B1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MAPIE</w:t>
            </w:r>
          </w:p>
        </w:tc>
        <w:tc>
          <w:tcPr>
            <w:tcW w:w="5328" w:type="dxa"/>
            <w:shd w:val="clear" w:color="auto" w:fill="EAF1F8"/>
          </w:tcPr>
          <w:p w14:paraId="3508439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conformal prediction / risk control </w:t>
            </w:r>
            <w:r>
              <w:rPr>
                <w:sz w:val="19"/>
              </w:rPr>
              <w:t>(scikit-learn style); calibration utilities.</w:t>
            </w:r>
          </w:p>
        </w:tc>
        <w:tc>
          <w:tcPr>
            <w:tcW w:w="2448" w:type="dxa"/>
            <w:shd w:val="clear" w:color="auto" w:fill="EAF1F8"/>
          </w:tcPr>
          <w:p w14:paraId="1915822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github.com/scikit-learn-contrib/MAPIE</w:t>
            </w:r>
          </w:p>
        </w:tc>
      </w:tr>
      <w:tr w:rsidR="008E01A1" w14:paraId="7D504026" w14:textId="77777777">
        <w:trPr>
          <w:jc w:val="center"/>
        </w:trPr>
        <w:tc>
          <w:tcPr>
            <w:tcW w:w="2304" w:type="dxa"/>
          </w:tcPr>
          <w:p w14:paraId="197953C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lastRenderedPageBreak/>
              <w:t>crepes</w:t>
            </w:r>
          </w:p>
        </w:tc>
        <w:tc>
          <w:tcPr>
            <w:tcW w:w="5328" w:type="dxa"/>
          </w:tcPr>
          <w:p w14:paraId="5E8EACB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conformal regressors/predictors — lightweight alternative for calibration curves.</w:t>
            </w:r>
          </w:p>
        </w:tc>
        <w:tc>
          <w:tcPr>
            <w:tcW w:w="2448" w:type="dxa"/>
          </w:tcPr>
          <w:p w14:paraId="2285AD2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github.com/henrikbostrom/crepes</w:t>
            </w:r>
          </w:p>
        </w:tc>
      </w:tr>
    </w:tbl>
    <w:p w14:paraId="0AB9FE99" w14:textId="77777777" w:rsidR="008E01A1" w:rsidRDefault="00D541C8">
      <w:pPr>
        <w:spacing w:before="40"/>
      </w:pPr>
      <w:r>
        <w:rPr>
          <w:i/>
        </w:rPr>
        <w:t xml:space="preserve">Note: there is no off-the-shelf repo for </w:t>
      </w:r>
      <w:r>
        <w:rPr>
          <w:i/>
        </w:rPr>
        <w:t>“conformal risk control applied to the steering decision” — that integration is the novel engineering. Borrow the calibration machinery above and wire it onto the harm-rate loss.</w:t>
      </w:r>
    </w:p>
    <w:p w14:paraId="1C68F2C0" w14:textId="77777777" w:rsidR="008E01A1" w:rsidRDefault="008E01A1">
      <w:pPr>
        <w:pBdr>
          <w:bottom w:val="single" w:sz="6" w:space="1" w:color="2E75B6"/>
        </w:pBdr>
      </w:pPr>
    </w:p>
    <w:p w14:paraId="013567F3" w14:textId="77777777" w:rsidR="008E01A1" w:rsidRDefault="00D541C8">
      <w:pPr>
        <w:pStyle w:val="Heading1"/>
      </w:pPr>
      <w:r>
        <w:t>6. Datasets to Procure</w:t>
      </w:r>
    </w:p>
    <w:p w14:paraId="78E19197" w14:textId="77777777" w:rsidR="008E01A1" w:rsidRDefault="00D541C8">
      <w:r>
        <w:rPr>
          <w:i/>
          <w:color w:val="595959"/>
        </w:rPr>
        <w:t xml:space="preserve">Two roles: (a) a demonstration corpus to </w:t>
      </w:r>
      <w:r>
        <w:rPr>
          <w:i/>
          <w:color w:val="595959"/>
        </w:rPr>
        <w:t>cluster into the bank, and (b) heterogeneous reasoning benchmarks for the risk–coverage evaluation. All are public on the HuggingFace Hub unless noted.</w:t>
      </w:r>
    </w:p>
    <w:p w14:paraId="009B5688" w14:textId="77777777" w:rsidR="008E01A1" w:rsidRDefault="00D541C8">
      <w:pPr>
        <w:pStyle w:val="Heading2"/>
      </w:pPr>
      <w:r>
        <w:t>A. Demonstration corpora (build the bank)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4110"/>
        <w:gridCol w:w="2338"/>
      </w:tblGrid>
      <w:tr w:rsidR="008E01A1" w14:paraId="37862E15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6253440B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4896" w:type="dxa"/>
            <w:shd w:val="clear" w:color="auto" w:fill="1F4E79"/>
          </w:tcPr>
          <w:p w14:paraId="2F665362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</w:t>
            </w:r>
          </w:p>
        </w:tc>
        <w:tc>
          <w:tcPr>
            <w:tcW w:w="2448" w:type="dxa"/>
            <w:shd w:val="clear" w:color="auto" w:fill="1F4E79"/>
          </w:tcPr>
          <w:p w14:paraId="03999F70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HF / source</w:t>
            </w:r>
          </w:p>
        </w:tc>
      </w:tr>
      <w:tr w:rsidR="008E01A1" w14:paraId="7B57F5DA" w14:textId="77777777">
        <w:trPr>
          <w:jc w:val="center"/>
        </w:trPr>
        <w:tc>
          <w:tcPr>
            <w:tcW w:w="2736" w:type="dxa"/>
          </w:tcPr>
          <w:p w14:paraId="31A29D6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FLAN / Flan Collection</w:t>
            </w:r>
          </w:p>
        </w:tc>
        <w:tc>
          <w:tcPr>
            <w:tcW w:w="4896" w:type="dxa"/>
          </w:tcPr>
          <w:p w14:paraId="467DD7C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broad, </w:t>
            </w:r>
            <w:r>
              <w:rPr>
                <w:sz w:val="19"/>
              </w:rPr>
              <w:t>task-labeled instruction mixture — natural skill clusters.</w:t>
            </w:r>
          </w:p>
        </w:tc>
        <w:tc>
          <w:tcPr>
            <w:tcW w:w="2448" w:type="dxa"/>
          </w:tcPr>
          <w:p w14:paraId="64CBD93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Muennighoff/flan · SirNeural/flan_v2</w:t>
            </w:r>
          </w:p>
        </w:tc>
      </w:tr>
      <w:tr w:rsidR="008E01A1" w14:paraId="5430F796" w14:textId="77777777">
        <w:trPr>
          <w:jc w:val="center"/>
        </w:trPr>
        <w:tc>
          <w:tcPr>
            <w:tcW w:w="2736" w:type="dxa"/>
            <w:shd w:val="clear" w:color="auto" w:fill="EAF1F8"/>
          </w:tcPr>
          <w:p w14:paraId="787FB03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Tulu-v2/v3 SFT mixture</w:t>
            </w:r>
          </w:p>
        </w:tc>
        <w:tc>
          <w:tcPr>
            <w:tcW w:w="4896" w:type="dxa"/>
            <w:shd w:val="clear" w:color="auto" w:fill="EAF1F8"/>
          </w:tcPr>
          <w:p w14:paraId="5598304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modern, diverse reasoning-heavy instruction data.</w:t>
            </w:r>
          </w:p>
        </w:tc>
        <w:tc>
          <w:tcPr>
            <w:tcW w:w="2448" w:type="dxa"/>
            <w:shd w:val="clear" w:color="auto" w:fill="EAF1F8"/>
          </w:tcPr>
          <w:p w14:paraId="4A810F3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allenai/tulu-v2-sft-mixture</w:t>
            </w:r>
          </w:p>
        </w:tc>
      </w:tr>
      <w:tr w:rsidR="008E01A1" w14:paraId="5E4C0211" w14:textId="77777777">
        <w:trPr>
          <w:jc w:val="center"/>
        </w:trPr>
        <w:tc>
          <w:tcPr>
            <w:tcW w:w="2736" w:type="dxa"/>
          </w:tcPr>
          <w:p w14:paraId="75970A1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OpenOrca</w:t>
            </w:r>
          </w:p>
        </w:tc>
        <w:tc>
          <w:tcPr>
            <w:tcW w:w="4896" w:type="dxa"/>
          </w:tcPr>
          <w:p w14:paraId="3E6ACA9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large CoT-style reasoning traces for skill-vecto</w:t>
            </w:r>
            <w:r>
              <w:rPr>
                <w:sz w:val="19"/>
              </w:rPr>
              <w:t>r extraction.</w:t>
            </w:r>
          </w:p>
        </w:tc>
        <w:tc>
          <w:tcPr>
            <w:tcW w:w="2448" w:type="dxa"/>
          </w:tcPr>
          <w:p w14:paraId="21EB634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Open-Orca/OpenOrca</w:t>
            </w:r>
          </w:p>
        </w:tc>
      </w:tr>
      <w:tr w:rsidR="008E01A1" w14:paraId="5E4661C2" w14:textId="77777777">
        <w:trPr>
          <w:jc w:val="center"/>
        </w:trPr>
        <w:tc>
          <w:tcPr>
            <w:tcW w:w="2736" w:type="dxa"/>
            <w:shd w:val="clear" w:color="auto" w:fill="EAF1F8"/>
          </w:tcPr>
          <w:p w14:paraId="24F8224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Natural Instructions</w:t>
            </w:r>
          </w:p>
        </w:tc>
        <w:tc>
          <w:tcPr>
            <w:tcW w:w="4896" w:type="dxa"/>
            <w:shd w:val="clear" w:color="auto" w:fill="EAF1F8"/>
          </w:tcPr>
          <w:p w14:paraId="5E47473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1600+ tasks with explicit task IDs — ready-made cluster labels for the label-based bank variant.</w:t>
            </w:r>
          </w:p>
        </w:tc>
        <w:tc>
          <w:tcPr>
            <w:tcW w:w="2448" w:type="dxa"/>
            <w:shd w:val="clear" w:color="auto" w:fill="EAF1F8"/>
          </w:tcPr>
          <w:p w14:paraId="6F850CB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Muennighoff/natural-instructions</w:t>
            </w:r>
          </w:p>
        </w:tc>
      </w:tr>
    </w:tbl>
    <w:p w14:paraId="4D214B2F" w14:textId="77777777" w:rsidR="008E01A1" w:rsidRDefault="00D541C8">
      <w:pPr>
        <w:pStyle w:val="Heading2"/>
      </w:pPr>
      <w:r>
        <w:t>B. Reasoning benchmarks (the heterogeneous eval)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4156"/>
        <w:gridCol w:w="2519"/>
      </w:tblGrid>
      <w:tr w:rsidR="008E01A1" w14:paraId="0EA2E39E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114E1FA5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w="5184" w:type="dxa"/>
            <w:shd w:val="clear" w:color="auto" w:fill="1F4E79"/>
          </w:tcPr>
          <w:p w14:paraId="7D20C10C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w="2448" w:type="dxa"/>
            <w:shd w:val="clear" w:color="auto" w:fill="1F4E79"/>
          </w:tcPr>
          <w:p w14:paraId="6C9AEDD5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HF / </w:t>
            </w:r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8E01A1" w14:paraId="1E3D2544" w14:textId="77777777">
        <w:trPr>
          <w:jc w:val="center"/>
        </w:trPr>
        <w:tc>
          <w:tcPr>
            <w:tcW w:w="2448" w:type="dxa"/>
          </w:tcPr>
          <w:p w14:paraId="1A02D2C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GSM8K</w:t>
            </w:r>
          </w:p>
        </w:tc>
        <w:tc>
          <w:tcPr>
            <w:tcW w:w="5184" w:type="dxa"/>
          </w:tcPr>
          <w:p w14:paraId="795D06D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grade-school math word problems (primary math probe).</w:t>
            </w:r>
          </w:p>
        </w:tc>
        <w:tc>
          <w:tcPr>
            <w:tcW w:w="2448" w:type="dxa"/>
          </w:tcPr>
          <w:p w14:paraId="00DC4B3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openai/gsm8k</w:t>
            </w:r>
          </w:p>
        </w:tc>
      </w:tr>
      <w:tr w:rsidR="008E01A1" w14:paraId="6279698E" w14:textId="77777777">
        <w:trPr>
          <w:jc w:val="center"/>
        </w:trPr>
        <w:tc>
          <w:tcPr>
            <w:tcW w:w="2448" w:type="dxa"/>
            <w:shd w:val="clear" w:color="auto" w:fill="EAF1F8"/>
          </w:tcPr>
          <w:p w14:paraId="2ACB575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MATH</w:t>
            </w:r>
          </w:p>
        </w:tc>
        <w:tc>
          <w:tcPr>
            <w:tcW w:w="5184" w:type="dxa"/>
            <w:shd w:val="clear" w:color="auto" w:fill="EAF1F8"/>
          </w:tcPr>
          <w:p w14:paraId="55E2FF2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competition math (harder arithmetic/algebra).</w:t>
            </w:r>
          </w:p>
        </w:tc>
        <w:tc>
          <w:tcPr>
            <w:tcW w:w="2448" w:type="dxa"/>
            <w:shd w:val="clear" w:color="auto" w:fill="EAF1F8"/>
          </w:tcPr>
          <w:p w14:paraId="00629EF9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hendrycks/competition_math</w:t>
            </w:r>
          </w:p>
        </w:tc>
      </w:tr>
      <w:tr w:rsidR="008E01A1" w14:paraId="101E29FC" w14:textId="77777777">
        <w:trPr>
          <w:jc w:val="center"/>
        </w:trPr>
        <w:tc>
          <w:tcPr>
            <w:tcW w:w="2448" w:type="dxa"/>
          </w:tcPr>
          <w:p w14:paraId="66D3682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AQuA-RAT</w:t>
            </w:r>
          </w:p>
        </w:tc>
        <w:tc>
          <w:tcPr>
            <w:tcW w:w="5184" w:type="dxa"/>
          </w:tcPr>
          <w:p w14:paraId="574F297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algebraic word problems w/ rationales.</w:t>
            </w:r>
          </w:p>
        </w:tc>
        <w:tc>
          <w:tcPr>
            <w:tcW w:w="2448" w:type="dxa"/>
          </w:tcPr>
          <w:p w14:paraId="12F65B6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deepmind/aqua_rat</w:t>
            </w:r>
          </w:p>
        </w:tc>
      </w:tr>
      <w:tr w:rsidR="008E01A1" w14:paraId="689EAC79" w14:textId="77777777">
        <w:trPr>
          <w:jc w:val="center"/>
        </w:trPr>
        <w:tc>
          <w:tcPr>
            <w:tcW w:w="2448" w:type="dxa"/>
            <w:shd w:val="clear" w:color="auto" w:fill="EAF1F8"/>
          </w:tcPr>
          <w:p w14:paraId="703D63AA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BBH (Big-Bench Hard)</w:t>
            </w:r>
          </w:p>
        </w:tc>
        <w:tc>
          <w:tcPr>
            <w:tcW w:w="5184" w:type="dxa"/>
            <w:shd w:val="clear" w:color="auto" w:fill="EAF1F8"/>
          </w:tcPr>
          <w:p w14:paraId="7E2556A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23 </w:t>
            </w:r>
            <w:r>
              <w:rPr>
                <w:sz w:val="19"/>
              </w:rPr>
              <w:t>hard multi-domain reasoning tasks — the heterogeneity engine.</w:t>
            </w:r>
          </w:p>
        </w:tc>
        <w:tc>
          <w:tcPr>
            <w:tcW w:w="2448" w:type="dxa"/>
            <w:shd w:val="clear" w:color="auto" w:fill="EAF1F8"/>
          </w:tcPr>
          <w:p w14:paraId="797A6C6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lukaemon/bbh · maveriq/bigbenchhard</w:t>
            </w:r>
          </w:p>
        </w:tc>
      </w:tr>
      <w:tr w:rsidR="008E01A1" w14:paraId="698AA1A0" w14:textId="77777777">
        <w:trPr>
          <w:jc w:val="center"/>
        </w:trPr>
        <w:tc>
          <w:tcPr>
            <w:tcW w:w="2448" w:type="dxa"/>
          </w:tcPr>
          <w:p w14:paraId="2A4B892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MMLU</w:t>
            </w:r>
          </w:p>
        </w:tc>
        <w:tc>
          <w:tcPr>
            <w:tcW w:w="5184" w:type="dxa"/>
          </w:tcPr>
          <w:p w14:paraId="2EDA80C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57-subject knowledge+reasoning — broad coverage / domain mixture.</w:t>
            </w:r>
          </w:p>
        </w:tc>
        <w:tc>
          <w:tcPr>
            <w:tcW w:w="2448" w:type="dxa"/>
          </w:tcPr>
          <w:p w14:paraId="0F8B2EAF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cais/mmlu</w:t>
            </w:r>
          </w:p>
        </w:tc>
      </w:tr>
      <w:tr w:rsidR="008E01A1" w14:paraId="344DAB4D" w14:textId="77777777">
        <w:trPr>
          <w:jc w:val="center"/>
        </w:trPr>
        <w:tc>
          <w:tcPr>
            <w:tcW w:w="2448" w:type="dxa"/>
            <w:shd w:val="clear" w:color="auto" w:fill="EAF1F8"/>
          </w:tcPr>
          <w:p w14:paraId="06675DDB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ARC-Challenge</w:t>
            </w:r>
          </w:p>
        </w:tc>
        <w:tc>
          <w:tcPr>
            <w:tcW w:w="5184" w:type="dxa"/>
            <w:shd w:val="clear" w:color="auto" w:fill="EAF1F8"/>
          </w:tcPr>
          <w:p w14:paraId="46884F2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science multiple-choice reasoning.</w:t>
            </w:r>
          </w:p>
        </w:tc>
        <w:tc>
          <w:tcPr>
            <w:tcW w:w="2448" w:type="dxa"/>
            <w:shd w:val="clear" w:color="auto" w:fill="EAF1F8"/>
          </w:tcPr>
          <w:p w14:paraId="76519F0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allenai/ai2_arc</w:t>
            </w:r>
          </w:p>
        </w:tc>
      </w:tr>
      <w:tr w:rsidR="008E01A1" w14:paraId="3B6E3971" w14:textId="77777777">
        <w:trPr>
          <w:jc w:val="center"/>
        </w:trPr>
        <w:tc>
          <w:tcPr>
            <w:tcW w:w="2448" w:type="dxa"/>
          </w:tcPr>
          <w:p w14:paraId="22B17CD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CommonsenseQA</w:t>
            </w:r>
          </w:p>
        </w:tc>
        <w:tc>
          <w:tcPr>
            <w:tcW w:w="5184" w:type="dxa"/>
          </w:tcPr>
          <w:p w14:paraId="0E0E419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commonsense reasoning (non-math skill).</w:t>
            </w:r>
          </w:p>
        </w:tc>
        <w:tc>
          <w:tcPr>
            <w:tcW w:w="2448" w:type="dxa"/>
          </w:tcPr>
          <w:p w14:paraId="53F6BAEF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tau/commonsense_qa</w:t>
            </w:r>
          </w:p>
        </w:tc>
      </w:tr>
      <w:tr w:rsidR="008E01A1" w14:paraId="3CF80EB2" w14:textId="77777777">
        <w:trPr>
          <w:jc w:val="center"/>
        </w:trPr>
        <w:tc>
          <w:tcPr>
            <w:tcW w:w="2448" w:type="dxa"/>
            <w:shd w:val="clear" w:color="auto" w:fill="EAF1F8"/>
          </w:tcPr>
          <w:p w14:paraId="0E9E7CF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StrategyQA</w:t>
            </w:r>
          </w:p>
        </w:tc>
        <w:tc>
          <w:tcPr>
            <w:tcW w:w="5184" w:type="dxa"/>
            <w:shd w:val="clear" w:color="auto" w:fill="EAF1F8"/>
          </w:tcPr>
          <w:p w14:paraId="712DE70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implicit multi-hop reasoning.</w:t>
            </w:r>
          </w:p>
        </w:tc>
        <w:tc>
          <w:tcPr>
            <w:tcW w:w="2448" w:type="dxa"/>
            <w:shd w:val="clear" w:color="auto" w:fill="EAF1F8"/>
          </w:tcPr>
          <w:p w14:paraId="0905C23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ChilleD/StrategyQA</w:t>
            </w:r>
          </w:p>
        </w:tc>
      </w:tr>
    </w:tbl>
    <w:p w14:paraId="13589949" w14:textId="77777777" w:rsidR="008E01A1" w:rsidRDefault="00D541C8">
      <w:pPr>
        <w:spacing w:before="40"/>
      </w:pPr>
      <w:r>
        <w:rPr>
          <w:i/>
        </w:rPr>
        <w:t xml:space="preserve">Heterogeneous mixture for E3: concatenate a math slice (GSM8K) + a commonsense/logic slice (CommonsenseQA / </w:t>
      </w:r>
      <w:r>
        <w:rPr>
          <w:i/>
        </w:rPr>
        <w:t>StrategyQA) + a broad slice (BBH / MMLU). The mixture is where global steering must violate α and RAS-gate must hold it — that contrast is the paper.</w:t>
      </w:r>
    </w:p>
    <w:p w14:paraId="48FD3819" w14:textId="77777777" w:rsidR="008E01A1" w:rsidRDefault="008E01A1">
      <w:pPr>
        <w:pBdr>
          <w:bottom w:val="single" w:sz="6" w:space="1" w:color="2E75B6"/>
        </w:pBdr>
      </w:pPr>
    </w:p>
    <w:p w14:paraId="355DE1DD" w14:textId="77777777" w:rsidR="008E01A1" w:rsidRDefault="00D541C8">
      <w:pPr>
        <w:pStyle w:val="Heading1"/>
      </w:pPr>
      <w:r>
        <w:t>7. Research Plan &amp; Timeline (~4 weeks, efficiency-first)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939"/>
        <w:gridCol w:w="5078"/>
      </w:tblGrid>
      <w:tr w:rsidR="008E01A1" w14:paraId="7D2BDA33" w14:textId="77777777">
        <w:trPr>
          <w:jc w:val="center"/>
        </w:trPr>
        <w:tc>
          <w:tcPr>
            <w:tcW w:w="3168" w:type="dxa"/>
            <w:shd w:val="clear" w:color="auto" w:fill="1F4E79"/>
          </w:tcPr>
          <w:p w14:paraId="6DAE9966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1008" w:type="dxa"/>
            <w:shd w:val="clear" w:color="auto" w:fill="1F4E79"/>
          </w:tcPr>
          <w:p w14:paraId="5E3FCE25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w="5904" w:type="dxa"/>
            <w:shd w:val="clear" w:color="auto" w:fill="1F4E79"/>
          </w:tcPr>
          <w:p w14:paraId="50D45774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</w:tr>
      <w:tr w:rsidR="008E01A1" w14:paraId="64C8655F" w14:textId="77777777">
        <w:trPr>
          <w:jc w:val="center"/>
        </w:trPr>
        <w:tc>
          <w:tcPr>
            <w:tcW w:w="3168" w:type="dxa"/>
          </w:tcPr>
          <w:p w14:paraId="165EC74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Phase 0 — </w:t>
            </w:r>
            <w:r>
              <w:rPr>
                <w:sz w:val="19"/>
              </w:rPr>
              <w:t>Open-domain bank</w:t>
            </w:r>
          </w:p>
        </w:tc>
        <w:tc>
          <w:tcPr>
            <w:tcW w:w="1008" w:type="dxa"/>
          </w:tcPr>
          <w:p w14:paraId="4D10705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1–5</w:t>
            </w:r>
          </w:p>
        </w:tc>
        <w:tc>
          <w:tcPr>
            <w:tcW w:w="5904" w:type="dxa"/>
          </w:tcPr>
          <w:p w14:paraId="0AB1DF1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corpus → embed → cluster (k≈50–100) → one CAA/ICV (opt. Fisher/FRE) vector + key + reliability per cluster. Reproduce one CAA + one PDS number (gate). Timebox — riskiest engineering.</w:t>
            </w:r>
          </w:p>
        </w:tc>
      </w:tr>
      <w:tr w:rsidR="008E01A1" w14:paraId="58F5F9AF" w14:textId="77777777">
        <w:trPr>
          <w:jc w:val="center"/>
        </w:trPr>
        <w:tc>
          <w:tcPr>
            <w:tcW w:w="3168" w:type="dxa"/>
            <w:shd w:val="clear" w:color="auto" w:fill="EAF1F8"/>
          </w:tcPr>
          <w:p w14:paraId="76E5DC8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Phase A — Conformal no-harm gate (HEADLINE)</w:t>
            </w:r>
          </w:p>
        </w:tc>
        <w:tc>
          <w:tcPr>
            <w:tcW w:w="1008" w:type="dxa"/>
            <w:shd w:val="clear" w:color="auto" w:fill="EAF1F8"/>
          </w:tcPr>
          <w:p w14:paraId="6B4B14C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6–14</w:t>
            </w:r>
          </w:p>
        </w:tc>
        <w:tc>
          <w:tcPr>
            <w:tcW w:w="5904" w:type="dxa"/>
            <w:shd w:val="clear" w:color="auto" w:fill="EAF1F8"/>
          </w:tcPr>
          <w:p w14:paraId="3A6893A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</w:t>
            </w:r>
            <w:r>
              <w:rPr>
                <w:sz w:val="19"/>
              </w:rPr>
              <w:t>nfidence score (router margin + model signal); calibrate steer/abstain by conformal risk control; deliver the risk–coverage frontier (RAS-gate vs global vs no-steer); show empirical harm ≤ α.</w:t>
            </w:r>
          </w:p>
        </w:tc>
      </w:tr>
      <w:tr w:rsidR="008E01A1" w14:paraId="63AC712C" w14:textId="77777777">
        <w:trPr>
          <w:jc w:val="center"/>
        </w:trPr>
        <w:tc>
          <w:tcPr>
            <w:tcW w:w="3168" w:type="dxa"/>
          </w:tcPr>
          <w:p w14:paraId="6F78A45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Phase B — Routing &amp; composition</w:t>
            </w:r>
          </w:p>
        </w:tc>
        <w:tc>
          <w:tcPr>
            <w:tcW w:w="1008" w:type="dxa"/>
          </w:tcPr>
          <w:p w14:paraId="02464BF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15–21</w:t>
            </w:r>
          </w:p>
        </w:tc>
        <w:tc>
          <w:tcPr>
            <w:tcW w:w="5904" w:type="dxa"/>
          </w:tcPr>
          <w:p w14:paraId="5DDC336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compare router </w:t>
            </w:r>
            <w:r>
              <w:rPr>
                <w:sz w:val="19"/>
              </w:rPr>
              <w:t>signals; multi-skill composition (orthogonal vs naive, top-k≤3); ablate bank granularity k. Goal: maximize coverage at fixed α.</w:t>
            </w:r>
          </w:p>
        </w:tc>
      </w:tr>
      <w:tr w:rsidR="008E01A1" w14:paraId="7AAD7992" w14:textId="77777777">
        <w:trPr>
          <w:jc w:val="center"/>
        </w:trPr>
        <w:tc>
          <w:tcPr>
            <w:tcW w:w="3168" w:type="dxa"/>
            <w:shd w:val="clear" w:color="auto" w:fill="EAF1F8"/>
          </w:tcPr>
          <w:p w14:paraId="697EA0C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Phase C — Extensibility &amp; generalization</w:t>
            </w:r>
          </w:p>
        </w:tc>
        <w:tc>
          <w:tcPr>
            <w:tcW w:w="1008" w:type="dxa"/>
            <w:shd w:val="clear" w:color="auto" w:fill="EAF1F8"/>
          </w:tcPr>
          <w:p w14:paraId="39EA5BB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22–26</w:t>
            </w:r>
          </w:p>
        </w:tc>
        <w:tc>
          <w:tcPr>
            <w:tcW w:w="5904" w:type="dxa"/>
            <w:shd w:val="clear" w:color="auto" w:fill="EAF1F8"/>
          </w:tcPr>
          <w:p w14:paraId="6ECE480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add corpus slice → new entries, no retraining → gain there, no regression, α hel</w:t>
            </w:r>
            <w:r>
              <w:rPr>
                <w:sz w:val="19"/>
              </w:rPr>
              <w:t>d; Fisher/FRE-bank vs CAA-bank ablation.</w:t>
            </w:r>
          </w:p>
        </w:tc>
      </w:tr>
      <w:tr w:rsidR="008E01A1" w14:paraId="034649D9" w14:textId="77777777">
        <w:trPr>
          <w:jc w:val="center"/>
        </w:trPr>
        <w:tc>
          <w:tcPr>
            <w:tcW w:w="3168" w:type="dxa"/>
          </w:tcPr>
          <w:p w14:paraId="6C1DD830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Write-up</w:t>
            </w:r>
          </w:p>
        </w:tc>
        <w:tc>
          <w:tcPr>
            <w:tcW w:w="1008" w:type="dxa"/>
          </w:tcPr>
          <w:p w14:paraId="4FFB96E8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27–30</w:t>
            </w:r>
          </w:p>
        </w:tc>
        <w:tc>
          <w:tcPr>
            <w:tcW w:w="5904" w:type="dxa"/>
          </w:tcPr>
          <w:p w14:paraId="01D92AA9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≥5 seeds; cost accounting (tokens=0 vs demo-RAG; latency); draft.</w:t>
            </w:r>
          </w:p>
        </w:tc>
      </w:tr>
    </w:tbl>
    <w:p w14:paraId="3A8BC301" w14:textId="77777777" w:rsidR="008E01A1" w:rsidRDefault="008E01A1">
      <w:pPr>
        <w:pBdr>
          <w:bottom w:val="single" w:sz="6" w:space="1" w:color="2E75B6"/>
        </w:pBdr>
      </w:pPr>
    </w:p>
    <w:p w14:paraId="1EC4DE8B" w14:textId="77777777" w:rsidR="008E01A1" w:rsidRDefault="00D541C8">
      <w:pPr>
        <w:pStyle w:val="Heading1"/>
      </w:pPr>
      <w:r>
        <w:t>8. Novelty Verdict &amp; Closest Competitors</w:t>
      </w:r>
    </w:p>
    <w:p w14:paraId="019A3CE3" w14:textId="77777777" w:rsidR="008E01A1" w:rsidRDefault="00D541C8">
      <w:r>
        <w:t xml:space="preserve">“Query-conditional steering” is NOT novel — it is a crowded 2025–26 area (CAST, </w:t>
      </w:r>
      <w:r>
        <w:t>K-CAST, HyperSteer, SADI, PDS, Steer2Adapt, EasySteer, …). The defensible novelty is the system + routing intelligence + no-harm guarantee + reasoning focus. The four closest works and why RAS differs: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2379"/>
        <w:gridCol w:w="3355"/>
        <w:gridCol w:w="1191"/>
      </w:tblGrid>
      <w:tr w:rsidR="008E01A1" w14:paraId="71D15135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51E8165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Closest work</w:t>
            </w:r>
          </w:p>
        </w:tc>
        <w:tc>
          <w:tcPr>
            <w:tcW w:w="2736" w:type="dxa"/>
            <w:shd w:val="clear" w:color="auto" w:fill="1F4E79"/>
          </w:tcPr>
          <w:p w14:paraId="4E56CA9F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w="3744" w:type="dxa"/>
            <w:shd w:val="clear" w:color="auto" w:fill="1F4E79"/>
          </w:tcPr>
          <w:p w14:paraId="72A80D50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is NOT this</w:t>
            </w:r>
          </w:p>
        </w:tc>
        <w:tc>
          <w:tcPr>
            <w:tcW w:w="1296" w:type="dxa"/>
            <w:shd w:val="clear" w:color="auto" w:fill="1F4E79"/>
          </w:tcPr>
          <w:p w14:paraId="3413AC9A" w14:textId="77777777" w:rsidR="008E01A1" w:rsidRDefault="00D541C8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Verified</w:t>
            </w:r>
          </w:p>
        </w:tc>
      </w:tr>
      <w:tr w:rsidR="008E01A1" w14:paraId="391B672E" w14:textId="77777777">
        <w:trPr>
          <w:jc w:val="center"/>
        </w:trPr>
        <w:tc>
          <w:tcPr>
            <w:tcW w:w="2160" w:type="dxa"/>
          </w:tcPr>
          <w:p w14:paraId="0625401D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HyperSteer (2506.03292)</w:t>
            </w:r>
          </w:p>
        </w:tc>
        <w:tc>
          <w:tcPr>
            <w:tcW w:w="2736" w:type="dxa"/>
          </w:tcPr>
          <w:p w14:paraId="5E1954B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trained hypernetwork generates a vector from a steering prompt</w:t>
            </w:r>
          </w:p>
        </w:tc>
        <w:tc>
          <w:tcPr>
            <w:tcW w:w="3744" w:type="dxa"/>
          </w:tcPr>
          <w:p w14:paraId="0CD351C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parametric generation, not retrieval; new skill relies on hypernet generalization/retraining, not a pluggable bank</w:t>
            </w:r>
          </w:p>
        </w:tc>
        <w:tc>
          <w:tcPr>
            <w:tcW w:w="1296" w:type="dxa"/>
          </w:tcPr>
          <w:p w14:paraId="21F46D8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fetched</w:t>
            </w:r>
          </w:p>
        </w:tc>
      </w:tr>
      <w:tr w:rsidR="008E01A1" w14:paraId="24C60EA4" w14:textId="77777777">
        <w:trPr>
          <w:jc w:val="center"/>
        </w:trPr>
        <w:tc>
          <w:tcPr>
            <w:tcW w:w="2160" w:type="dxa"/>
            <w:shd w:val="clear" w:color="auto" w:fill="EAF1F8"/>
          </w:tcPr>
          <w:p w14:paraId="6B5228F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Steer2Adapt (2602.07276)</w:t>
            </w:r>
          </w:p>
        </w:tc>
        <w:tc>
          <w:tcPr>
            <w:tcW w:w="2736" w:type="dxa"/>
            <w:shd w:val="clear" w:color="auto" w:fill="EAF1F8"/>
          </w:tcPr>
          <w:p w14:paraId="49F9D8EE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composes a fixed </w:t>
            </w:r>
            <w:r>
              <w:rPr>
                <w:sz w:val="19"/>
              </w:rPr>
              <w:t>low-dim basis via few-shot calibration per task</w:t>
            </w:r>
          </w:p>
        </w:tc>
        <w:tc>
          <w:tcPr>
            <w:tcW w:w="3744" w:type="dxa"/>
            <w:shd w:val="clear" w:color="auto" w:fill="EAF1F8"/>
          </w:tcPr>
          <w:p w14:paraId="1103F69C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bounded fixed subspace; adapts per task, not per-query zero-shot retrieval from a growing bank</w:t>
            </w:r>
          </w:p>
        </w:tc>
        <w:tc>
          <w:tcPr>
            <w:tcW w:w="1296" w:type="dxa"/>
            <w:shd w:val="clear" w:color="auto" w:fill="EAF1F8"/>
          </w:tcPr>
          <w:p w14:paraId="60187179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fetched</w:t>
            </w:r>
          </w:p>
        </w:tc>
      </w:tr>
      <w:tr w:rsidR="008E01A1" w14:paraId="2CF84C91" w14:textId="77777777">
        <w:trPr>
          <w:jc w:val="center"/>
        </w:trPr>
        <w:tc>
          <w:tcPr>
            <w:tcW w:w="2160" w:type="dxa"/>
          </w:tcPr>
          <w:p w14:paraId="5D2C81B1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EasySteer (2509.25175)</w:t>
            </w:r>
          </w:p>
        </w:tc>
        <w:tc>
          <w:tcPr>
            <w:tcW w:w="2736" w:type="dxa"/>
          </w:tcPr>
          <w:p w14:paraId="0F785485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static library of precomputed vectors, 8 domains</w:t>
            </w:r>
          </w:p>
        </w:tc>
        <w:tc>
          <w:tcPr>
            <w:tcW w:w="3744" w:type="dxa"/>
          </w:tcPr>
          <w:p w14:paraId="164F376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 xml:space="preserve">selection is manual; </w:t>
            </w:r>
            <w:r>
              <w:rPr>
                <w:sz w:val="19"/>
              </w:rPr>
              <w:t>library exists but no learned per-query router (reusable as infra)</w:t>
            </w:r>
          </w:p>
        </w:tc>
        <w:tc>
          <w:tcPr>
            <w:tcW w:w="1296" w:type="dxa"/>
          </w:tcPr>
          <w:p w14:paraId="780D3006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fetched</w:t>
            </w:r>
          </w:p>
        </w:tc>
      </w:tr>
      <w:tr w:rsidR="008E01A1" w14:paraId="6AFE88DB" w14:textId="77777777">
        <w:trPr>
          <w:jc w:val="center"/>
        </w:trPr>
        <w:tc>
          <w:tcPr>
            <w:tcW w:w="2160" w:type="dxa"/>
            <w:shd w:val="clear" w:color="auto" w:fill="EAF1F8"/>
          </w:tcPr>
          <w:p w14:paraId="4C9E3037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K-CAST (2505.12189)</w:t>
            </w:r>
          </w:p>
        </w:tc>
        <w:tc>
          <w:tcPr>
            <w:tcW w:w="2736" w:type="dxa"/>
            <w:shd w:val="clear" w:color="auto" w:fill="EAF1F8"/>
          </w:tcPr>
          <w:p w14:paraId="6BAC8A24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kNN-conditional steering for formal reasoning (+15%)</w:t>
            </w:r>
          </w:p>
        </w:tc>
        <w:tc>
          <w:tcPr>
            <w:tcW w:w="3744" w:type="dxa"/>
            <w:shd w:val="clear" w:color="auto" w:fill="EAF1F8"/>
          </w:tcPr>
          <w:p w14:paraId="553C70F3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conditions/scales steering per input within a behavior; does not retrieve among a library of many skill v</w:t>
            </w:r>
            <w:r>
              <w:rPr>
                <w:sz w:val="19"/>
              </w:rPr>
              <w:t>ectors</w:t>
            </w:r>
          </w:p>
        </w:tc>
        <w:tc>
          <w:tcPr>
            <w:tcW w:w="1296" w:type="dxa"/>
            <w:shd w:val="clear" w:color="auto" w:fill="EAF1F8"/>
          </w:tcPr>
          <w:p w14:paraId="0AC60D72" w14:textId="77777777" w:rsidR="008E01A1" w:rsidRDefault="00D541C8">
            <w:pPr>
              <w:spacing w:before="40" w:after="40"/>
            </w:pPr>
            <w:r>
              <w:rPr>
                <w:sz w:val="19"/>
              </w:rPr>
              <w:t>⚠</w:t>
            </w:r>
            <w:r>
              <w:rPr>
                <w:sz w:val="19"/>
              </w:rPr>
              <w:t xml:space="preserve"> confirm</w:t>
            </w:r>
          </w:p>
        </w:tc>
      </w:tr>
    </w:tbl>
    <w:p w14:paraId="41D52D79" w14:textId="77777777" w:rsidR="008E01A1" w:rsidRDefault="008E01A1">
      <w:pPr>
        <w:pBdr>
          <w:bottom w:val="single" w:sz="6" w:space="1" w:color="2E75B6"/>
        </w:pBdr>
      </w:pPr>
    </w:p>
    <w:p w14:paraId="2A3E54CC" w14:textId="77777777" w:rsidR="008E01A1" w:rsidRDefault="00D541C8">
      <w:pPr>
        <w:pStyle w:val="Heading1"/>
      </w:pPr>
      <w:r>
        <w:t>9. Prioritized Reading List</w:t>
      </w:r>
    </w:p>
    <w:p w14:paraId="3447E7C8" w14:textId="77777777" w:rsidR="008E01A1" w:rsidRDefault="00D541C8">
      <w:pPr>
        <w:pStyle w:val="Heading2"/>
      </w:pPr>
      <w:r>
        <w:t>Tier 0 — the 4 closest competitors (read FIRST)</w:t>
      </w:r>
    </w:p>
    <w:p w14:paraId="4593BD0C" w14:textId="77777777" w:rsidR="008E01A1" w:rsidRDefault="00D541C8">
      <w:pPr>
        <w:pStyle w:val="ListBullet"/>
        <w:spacing w:after="60"/>
      </w:pPr>
      <w:r>
        <w:t>K-CAST — Vedavati et al., AAAI 2025, arXiv 2505.12189 — kNN-conditional steering for formal reasoning.</w:t>
      </w:r>
    </w:p>
    <w:p w14:paraId="4FC84395" w14:textId="77777777" w:rsidR="008E01A1" w:rsidRDefault="00D541C8">
      <w:pPr>
        <w:pStyle w:val="ListBullet"/>
        <w:spacing w:after="60"/>
      </w:pPr>
      <w:r>
        <w:t xml:space="preserve">CAST: Programming Refusal with Conditional </w:t>
      </w:r>
      <w:r>
        <w:t>Activation Steering — Lee et al., ICLR 2025 (spotlight), 2409.05907.</w:t>
      </w:r>
    </w:p>
    <w:p w14:paraId="50D59D3E" w14:textId="77777777" w:rsidR="008E01A1" w:rsidRDefault="00D541C8">
      <w:pPr>
        <w:pStyle w:val="ListBullet"/>
        <w:spacing w:after="60"/>
      </w:pPr>
      <w:r>
        <w:t>HyperSteer — arXiv 2506.03292 — hypernetwork generates steering vectors (generate-not-retrieve contrast).</w:t>
      </w:r>
    </w:p>
    <w:p w14:paraId="2DFE45DE" w14:textId="77777777" w:rsidR="008E01A1" w:rsidRDefault="00D541C8">
      <w:pPr>
        <w:pStyle w:val="ListBullet"/>
        <w:spacing w:after="60"/>
      </w:pPr>
      <w:r>
        <w:t xml:space="preserve">Steer2Adapt — arXiv 2602.07276 — compose a fixed basis via few-shot calibration. </w:t>
      </w:r>
      <w:r>
        <w:t>(skim EasySteer 2509.25175.)</w:t>
      </w:r>
    </w:p>
    <w:p w14:paraId="0ECB102C" w14:textId="77777777" w:rsidR="008E01A1" w:rsidRDefault="00D541C8">
      <w:pPr>
        <w:pStyle w:val="Heading2"/>
      </w:pPr>
      <w:r>
        <w:t>Tier 1 — primitives you build on</w:t>
      </w:r>
    </w:p>
    <w:p w14:paraId="1F381624" w14:textId="77777777" w:rsidR="008E01A1" w:rsidRDefault="00D541C8">
      <w:pPr>
        <w:pStyle w:val="ListBullet"/>
        <w:spacing w:after="60"/>
      </w:pPr>
      <w:r>
        <w:t>CAA — Rimsky et al., ACL 2024, 2312.06681 — the base steering vector.</w:t>
      </w:r>
    </w:p>
    <w:p w14:paraId="45B638B9" w14:textId="77777777" w:rsidR="008E01A1" w:rsidRDefault="00D541C8">
      <w:pPr>
        <w:pStyle w:val="ListBullet"/>
        <w:spacing w:after="60"/>
      </w:pPr>
      <w:r>
        <w:t>In-Context Vectors (ICV) — Liu et al., ICML 2024, 2311.06668 (in your directory).</w:t>
      </w:r>
    </w:p>
    <w:p w14:paraId="7AAADC48" w14:textId="77777777" w:rsidR="008E01A1" w:rsidRDefault="00D541C8">
      <w:pPr>
        <w:pStyle w:val="ListBullet"/>
        <w:spacing w:after="60"/>
      </w:pPr>
      <w:r>
        <w:t>Prototype-Based Dynamic Steering (PDS) — 2</w:t>
      </w:r>
      <w:r>
        <w:t>510.05498 — closest instance-adaptive reasoning work; read fully.</w:t>
      </w:r>
    </w:p>
    <w:p w14:paraId="07D1B683" w14:textId="77777777" w:rsidR="008E01A1" w:rsidRDefault="00D541C8">
      <w:pPr>
        <w:pStyle w:val="ListBullet"/>
        <w:spacing w:after="60"/>
      </w:pPr>
      <w:r>
        <w:t>SADI — Wang et al., ICLR 2025, 2410.12299 — semantics-adaptive intervention.</w:t>
      </w:r>
    </w:p>
    <w:p w14:paraId="135378EA" w14:textId="77777777" w:rsidR="008E01A1" w:rsidRDefault="00D541C8">
      <w:pPr>
        <w:pStyle w:val="Heading2"/>
      </w:pPr>
      <w:r>
        <w:t>Tier 2 — headline mechanism (conformal no-harm) + enablers</w:t>
      </w:r>
    </w:p>
    <w:p w14:paraId="04525AC4" w14:textId="77777777" w:rsidR="008E01A1" w:rsidRDefault="00D541C8">
      <w:pPr>
        <w:pStyle w:val="ListBullet"/>
        <w:spacing w:after="60"/>
      </w:pPr>
      <w:r>
        <w:t>Conformal Abstention for LLM Hallucinations — 2405.015</w:t>
      </w:r>
      <w:r>
        <w:t>63; Conformal Risk Control for LLMs — 2509.23007.</w:t>
      </w:r>
    </w:p>
    <w:p w14:paraId="6670B5B1" w14:textId="77777777" w:rsidR="008E01A1" w:rsidRDefault="00D541C8">
      <w:pPr>
        <w:pStyle w:val="ListBullet"/>
        <w:spacing w:after="60"/>
      </w:pPr>
      <w:r>
        <w:t>Entropy Alone is Insufficient for Safe Selective Prediction — 2603.21172 (do NOT gate on entropy alone).</w:t>
      </w:r>
    </w:p>
    <w:p w14:paraId="0CF732C0" w14:textId="77777777" w:rsidR="008E01A1" w:rsidRDefault="00D541C8">
      <w:pPr>
        <w:pStyle w:val="ListBullet"/>
        <w:spacing w:after="60"/>
      </w:pPr>
      <w:r>
        <w:t>Steering Externalities: Benign Steering Increases Jailbreak Risk — 2602.04896; Tan et al., NeurIPS 20</w:t>
      </w:r>
      <w:r>
        <w:t>24.</w:t>
      </w:r>
    </w:p>
    <w:p w14:paraId="0262B55D" w14:textId="77777777" w:rsidR="008E01A1" w:rsidRDefault="00D541C8">
      <w:pPr>
        <w:pStyle w:val="ListBullet"/>
        <w:spacing w:after="60"/>
      </w:pPr>
      <w:r>
        <w:t>Composition: MAT-Steer 2502.12446 / K-Steering 2505.24535. SAE routing: Arad et al., EMNLP 2025, 2505.20063.</w:t>
      </w:r>
    </w:p>
    <w:p w14:paraId="1FD45A73" w14:textId="77777777" w:rsidR="008E01A1" w:rsidRDefault="00D541C8">
      <w:pPr>
        <w:pStyle w:val="Heading2"/>
      </w:pPr>
      <w:r>
        <w:t>Tier 3 — conceptual neighbors (RAG analogs) to position against</w:t>
      </w:r>
    </w:p>
    <w:p w14:paraId="309EA0F5" w14:textId="77777777" w:rsidR="008E01A1" w:rsidRDefault="00D541C8">
      <w:pPr>
        <w:pStyle w:val="ListBullet"/>
        <w:spacing w:after="60"/>
      </w:pPr>
      <w:r>
        <w:t>LoRA retrieval/routing: LoraHub (2023), LoRA-Retriever (2024), PHATGOOSE / Arro</w:t>
      </w:r>
      <w:r>
        <w:t>w (2024) — the parametric analog.</w:t>
      </w:r>
    </w:p>
    <w:p w14:paraId="5091A3CE" w14:textId="77777777" w:rsidR="008E01A1" w:rsidRDefault="00D541C8">
      <w:pPr>
        <w:pStyle w:val="ListBullet"/>
        <w:spacing w:after="60"/>
      </w:pPr>
      <w:r>
        <w:t>Demonstration retrieval for ICL: EPR (Rubin et al., NAACL 2022), UDR (Li et al., ACL 2023) — the token-cost analog.</w:t>
      </w:r>
    </w:p>
    <w:p w14:paraId="7E45F6A4" w14:textId="77777777" w:rsidR="008E01A1" w:rsidRDefault="00D541C8">
      <w:pPr>
        <w:pStyle w:val="ListBullet"/>
        <w:spacing w:after="60"/>
      </w:pPr>
      <w:r>
        <w:t>Reasoning skill/CoT vectors: Uncovering Latent CoT Vectors (2409.14026); Venhoff et al. (2506.18167).</w:t>
      </w:r>
    </w:p>
    <w:p w14:paraId="5D13E57E" w14:textId="77777777" w:rsidR="008E01A1" w:rsidRDefault="00D541C8">
      <w:pPr>
        <w:spacing w:before="120" w:after="40"/>
      </w:pPr>
      <w:r>
        <w:rPr>
          <w:b/>
          <w:color w:val="1F4E79"/>
        </w:rPr>
        <w:t>Veri</w:t>
      </w:r>
      <w:r>
        <w:rPr>
          <w:b/>
          <w:color w:val="1F4E79"/>
        </w:rPr>
        <w:t>fication status.</w:t>
      </w:r>
    </w:p>
    <w:p w14:paraId="5F57EC9C" w14:textId="77777777" w:rsidR="008E01A1" w:rsidRDefault="00D541C8">
      <w:pPr>
        <w:pStyle w:val="ListBullet"/>
        <w:spacing w:after="60"/>
      </w:pPr>
      <w:r>
        <w:rPr>
          <w:b/>
        </w:rPr>
        <w:lastRenderedPageBreak/>
        <w:t xml:space="preserve">Verified by author: </w:t>
      </w:r>
      <w:r>
        <w:t>CAA 2312.06681; CAST 2409.05907; K-CAST 2505.12189; HyperSteer 2506.03292; Steer2Adapt 2602.07276; EasySteer 2509.25175; Tan NeurIPS'24; ICV 2311.06668; Venhoff 2506.18167; Conformal Abstention 2405.01563; Conformal Ris</w:t>
      </w:r>
      <w:r>
        <w:t>k Control 2509.23007; 2603.21172; Steering-Externalities 2602.04896.</w:t>
      </w:r>
    </w:p>
    <w:p w14:paraId="4B1D14B5" w14:textId="77777777" w:rsidR="008E01A1" w:rsidRDefault="00D541C8">
      <w:pPr>
        <w:pStyle w:val="ListBullet"/>
        <w:spacing w:after="60"/>
      </w:pPr>
      <w:r>
        <w:rPr>
          <w:b/>
        </w:rPr>
        <w:t xml:space="preserve">Agent-sourced (verify before citing): </w:t>
      </w:r>
      <w:r>
        <w:t>SADI 2410.12299; PDS 2510.05498; MAT-Steer 2502.12446; K-Steering 2505.24535; Arad 2505.20063; “Where to Steer” 2604.03867; latent-CoT-vectors 2409.1</w:t>
      </w:r>
      <w:r>
        <w:t>4026.</w:t>
      </w:r>
    </w:p>
    <w:p w14:paraId="35B03D25" w14:textId="77777777" w:rsidR="008E01A1" w:rsidRDefault="00D541C8">
      <w:pPr>
        <w:pStyle w:val="ListBullet"/>
        <w:spacing w:after="60"/>
      </w:pPr>
      <w:r>
        <w:rPr>
          <w:b/>
        </w:rPr>
        <w:t xml:space="preserve">Canonical (confirm venue): </w:t>
      </w:r>
      <w:r>
        <w:t>LoraHub; LoRA-Retriever; PHATGOOSE; Arrow; EPR (Rubin 2022); UDR (Li 2023); ReFT 2404.03592.</w:t>
      </w:r>
    </w:p>
    <w:p w14:paraId="452682AB" w14:textId="77777777" w:rsidR="008E01A1" w:rsidRDefault="008E01A1">
      <w:pPr>
        <w:pBdr>
          <w:bottom w:val="single" w:sz="6" w:space="1" w:color="2E75B6"/>
        </w:pBdr>
      </w:pPr>
    </w:p>
    <w:p w14:paraId="716FA5DF" w14:textId="77777777" w:rsidR="008E01A1" w:rsidRDefault="00D541C8">
      <w:pPr>
        <w:pStyle w:val="Heading1"/>
      </w:pPr>
      <w:r>
        <w:t>10. Risks &amp; Critical Cautions</w:t>
      </w:r>
    </w:p>
    <w:p w14:paraId="633B4E5A" w14:textId="77777777" w:rsidR="008E01A1" w:rsidRDefault="00D541C8">
      <w:pPr>
        <w:pStyle w:val="ListBullet"/>
        <w:spacing w:after="60"/>
      </w:pPr>
      <w:r>
        <w:rPr>
          <w:b/>
        </w:rPr>
        <w:t xml:space="preserve">Crowded space → </w:t>
      </w:r>
      <w:r>
        <w:t xml:space="preserve">lead with the RAG/extensibility + no-harm + heterogeneity wedge, NOT </w:t>
      </w:r>
      <w:r>
        <w:t>“conditional steering.”</w:t>
      </w:r>
    </w:p>
    <w:p w14:paraId="7539B3B9" w14:textId="77777777" w:rsidR="008E01A1" w:rsidRDefault="00D541C8">
      <w:pPr>
        <w:pStyle w:val="ListBullet"/>
        <w:spacing w:after="60"/>
      </w:pPr>
      <w:r>
        <w:rPr>
          <w:b/>
        </w:rPr>
        <w:t xml:space="preserve">Router errors hurt → </w:t>
      </w:r>
      <w:r>
        <w:t>the no-harm uncertainty gate is not optional — it is the safety contribution.</w:t>
      </w:r>
    </w:p>
    <w:p w14:paraId="41B0C907" w14:textId="77777777" w:rsidR="008E01A1" w:rsidRDefault="00D541C8">
      <w:pPr>
        <w:pStyle w:val="ListBullet"/>
        <w:spacing w:after="60"/>
      </w:pPr>
      <w:r>
        <w:rPr>
          <w:b/>
        </w:rPr>
        <w:t xml:space="preserve">Composition interference → </w:t>
      </w:r>
      <w:r>
        <w:t>keep top-k ≤ 2–3; use orthogonalization; ablate naive vs orthogonal.</w:t>
      </w:r>
    </w:p>
    <w:p w14:paraId="361CDF18" w14:textId="77777777" w:rsidR="008E01A1" w:rsidRDefault="00D541C8">
      <w:pPr>
        <w:pStyle w:val="ListBullet"/>
        <w:spacing w:after="60"/>
      </w:pPr>
      <w:r>
        <w:rPr>
          <w:b/>
        </w:rPr>
        <w:t xml:space="preserve">“Just MoE / LoRA-routing” critique → </w:t>
      </w:r>
      <w:r>
        <w:t>emphasize activation-space, training-free, no weight merge, 0 context tokens, pluggable bank; quantify the cost gap vs demonstration-RAG.</w:t>
      </w:r>
    </w:p>
    <w:p w14:paraId="0CA7757C" w14:textId="77777777" w:rsidR="008E01A1" w:rsidRDefault="00D541C8">
      <w:pPr>
        <w:pStyle w:val="ListBullet"/>
        <w:spacing w:after="60"/>
      </w:pPr>
      <w:r>
        <w:rPr>
          <w:b/>
        </w:rPr>
        <w:t xml:space="preserve">Gains only under heterogeneity → </w:t>
      </w:r>
      <w:r>
        <w:t>that's the point — state the scope honestly (single-task ⇒ RAS≈global).</w:t>
      </w:r>
    </w:p>
    <w:p w14:paraId="0F52E0C1" w14:textId="77777777" w:rsidR="008E01A1" w:rsidRDefault="00D541C8">
      <w:pPr>
        <w:pStyle w:val="ListBullet"/>
        <w:spacing w:after="60"/>
      </w:pPr>
      <w:r>
        <w:rPr>
          <w:b/>
        </w:rPr>
        <w:t>Bank is the r</w:t>
      </w:r>
      <w:r>
        <w:rPr>
          <w:b/>
        </w:rPr>
        <w:t xml:space="preserve">iskiest engineering → </w:t>
      </w:r>
      <w:r>
        <w:t>timebox Phase 0; start moderate corpus + k≈50–100; scale only if Phase A succeeds.</w:t>
      </w:r>
    </w:p>
    <w:p w14:paraId="79850342" w14:textId="77777777" w:rsidR="008E01A1" w:rsidRDefault="00D541C8">
      <w:pPr>
        <w:pStyle w:val="ListBullet"/>
        <w:spacing w:after="60"/>
      </w:pPr>
      <w:r>
        <w:rPr>
          <w:b/>
        </w:rPr>
        <w:t xml:space="preserve">Name collision → </w:t>
      </w:r>
      <w:r>
        <w:t>do NOT reuse “Selective Steering” (2601.19375 = norm-preserving rotation). Use “Conformal Steering” / “Safe RAS.”</w:t>
      </w:r>
    </w:p>
    <w:p w14:paraId="7EDAEF30" w14:textId="77777777" w:rsidR="008E01A1" w:rsidRDefault="00D541C8">
      <w:pPr>
        <w:pStyle w:val="ListBullet"/>
        <w:spacing w:after="60"/>
      </w:pPr>
      <w:r>
        <w:rPr>
          <w:b/>
        </w:rPr>
        <w:t xml:space="preserve">Scope discipline → </w:t>
      </w:r>
      <w:r>
        <w:t>d</w:t>
      </w:r>
      <w:r>
        <w:t>on't rebuild dropped inversion/on-manifold machinery; don't over-engineer a learned router before cosine-kNN proves the heterogeneity thesis.</w:t>
      </w:r>
    </w:p>
    <w:p w14:paraId="3016FA27" w14:textId="77777777" w:rsidR="008E01A1" w:rsidRDefault="008E01A1">
      <w:pPr>
        <w:pBdr>
          <w:bottom w:val="single" w:sz="6" w:space="1" w:color="2E75B6"/>
        </w:pBdr>
      </w:pPr>
    </w:p>
    <w:p w14:paraId="7C876B6D" w14:textId="77777777" w:rsidR="008E01A1" w:rsidRDefault="00D541C8">
      <w:r>
        <w:rPr>
          <w:i/>
          <w:color w:val="595959"/>
          <w:sz w:val="20"/>
        </w:rPr>
        <w:t xml:space="preserve">Resolved decisions (user, 2026-06-23): Headline = the conformal no-harm guarantee (risk–coverage frontier is the </w:t>
      </w:r>
      <w:r>
        <w:rPr>
          <w:i/>
          <w:color w:val="595959"/>
          <w:sz w:val="20"/>
        </w:rPr>
        <w:t>money figure). Bank scope = open-domain corpus-clustered. Honest claim = expected harm-rate control ≤ α w.h.p. under exchangeability — NOT “never harms.”</w:t>
      </w:r>
    </w:p>
    <w:sectPr w:rsidR="008E01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01A1"/>
    <w:rsid w:val="00AA1D8D"/>
    <w:rsid w:val="00B47730"/>
    <w:rsid w:val="00CB0664"/>
    <w:rsid w:val="00D54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70074"/>
  <w14:defaultImageDpi w14:val="300"/>
  <w15:docId w15:val="{03E5D601-4C62-49E3-8BEA-9E157B5D1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2790</Words>
  <Characters>15908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Pratyay Dutta</cp:lastModifiedBy>
  <cp:revision>2</cp:revision>
  <dcterms:created xsi:type="dcterms:W3CDTF">2013-12-23T23:15:00Z</dcterms:created>
  <dcterms:modified xsi:type="dcterms:W3CDTF">2026-06-25T05:01:00Z</dcterms:modified>
  <cp:category/>
</cp:coreProperties>
</file>