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b/>
          <w:bCs/>
          <w:outline w:val="off"/>
          <w:shadow w:val="off"/>
          <w:emboss w:val="off"/>
          <w:imprint w:val="off"/>
          <w:color w:val="auto"/>
          <w:spacing w:val="0"/>
          <w:sz w:val="22"/>
          <w:szCs w:val="22"/>
          <w:u w:val="single"/>
        </w:rPr>
      </w:pPr>
      <w:r>
        <w:rPr>
          <w:rFonts w:ascii="Times New Roman" w:cs="Times New Roman" w:hAnsi="Times New Roman"/>
          <w:b/>
          <w:bCs/>
          <w:outline w:val="off"/>
          <w:shadow w:val="off"/>
          <w:emboss w:val="off"/>
          <w:imprint w:val="off"/>
          <w:color w:val="auto"/>
          <w:spacing w:val="0"/>
          <w:sz w:val="22"/>
          <w:szCs w:val="22"/>
          <w:u w:val="single"/>
          <w:lang w:val="en-US"/>
        </w:rPr>
        <w:t>Problem statement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outline w:val="off"/>
          <w:shadow w:val="off"/>
          <w:emboss w:val="off"/>
          <w:imprint w:val="off"/>
          <w:color w:val="auto"/>
          <w:spacing w:val="0"/>
          <w:sz w:val="22"/>
          <w:szCs w:val="22"/>
        </w:rPr>
      </w:pPr>
      <w:r>
        <w:rPr>
          <w:rFonts w:ascii="Times New Roman" w:cs="Times New Roman" w:hAnsi="Times New Roman"/>
          <w:b/>
          <w:bCs/>
          <w:outline w:val="off"/>
          <w:shadow w:val="off"/>
          <w:emboss w:val="off"/>
          <w:imprint w:val="off"/>
          <w:color w:val="auto"/>
          <w:spacing w:val="0"/>
          <w:sz w:val="22"/>
          <w:szCs w:val="22"/>
          <w:lang w:val="en-US"/>
        </w:rPr>
        <w:t>Title</w:t>
      </w:r>
      <w:r>
        <w:rPr>
          <w:rFonts w:ascii="Times New Roman" w:cs="Times New Roman" w:hAnsi="Times New Roman"/>
          <w:outline w:val="off"/>
          <w:shadow w:val="off"/>
          <w:emboss w:val="off"/>
          <w:imprint w:val="off"/>
          <w:color w:val="auto"/>
          <w:spacing w:val="0"/>
          <w:sz w:val="22"/>
          <w:szCs w:val="22"/>
          <w:lang w:val="en-US"/>
        </w:rPr>
        <w:t xml:space="preserve">: </w:t>
      </w:r>
      <w:r>
        <w:rPr>
          <w:rFonts w:ascii="Times New Roman" w:cs="Times New Roman" w:hAnsi="Times New Roman"/>
          <w:outline w:val="off"/>
          <w:shadow w:val="off"/>
          <w:emboss w:val="off"/>
          <w:imprint w:val="off"/>
          <w:color w:val="auto"/>
          <w:spacing w:val="0"/>
          <w:sz w:val="22"/>
          <w:szCs w:val="22"/>
        </w:rPr>
        <w:t>Predictive Modeling and Risk Factor Analysis of Severe COVID-19 Outcomes in Hospitalized Patients: A Comprehensive Study on the Impact of Demographics, Comorbidities, and Healthcare Interventions</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outline w:val="off"/>
          <w:shadow w:val="off"/>
          <w:emboss w:val="off"/>
          <w:imprint w:val="off"/>
          <w:color w:val="auto"/>
          <w:spacing w:val="0"/>
          <w:sz w:val="22"/>
          <w:szCs w:val="22"/>
        </w:rPr>
      </w:pPr>
      <w:r>
        <w:rPr>
          <w:rFonts w:ascii="Times New Roman" w:cs="Times New Roman" w:hAnsi="Times New Roman"/>
          <w:outline w:val="off"/>
          <w:shadow w:val="off"/>
          <w:emboss w:val="off"/>
          <w:imprint w:val="off"/>
          <w:color w:val="auto"/>
          <w:spacing w:val="0"/>
          <w:sz w:val="22"/>
          <w:szCs w:val="22"/>
        </w:rPr>
        <w:t>The problem to be addressed through this study is the lack of comprehensive understanding of the factors affecting severe outcomes for hospitalized COVID-19 patients. While the pandemic has been extensively studied, there is limited research focused specifically on patients requiring hospitalization. These patients often experience more severe symptoms, including the need for intensive care, such as intubation or ICU admission. Studies such as Bordes et al. (2020) have demonstrated the critical role of pre-existing conditions in predicting mortality for hospitalized patients. However, their work primarily isolates comorbidities, leaving out other critical factors like age, vaccination status, and the evolving nature of the pandemic as new variants emerge.</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outline w:val="off"/>
          <w:shadow w:val="off"/>
          <w:emboss w:val="off"/>
          <w:imprint w:val="off"/>
          <w:color w:val="auto"/>
          <w:spacing w:val="0"/>
          <w:sz w:val="22"/>
          <w:szCs w:val="22"/>
        </w:rPr>
      </w:pPr>
      <w:r>
        <w:rPr>
          <w:rFonts w:ascii="Times New Roman" w:cs="Times New Roman" w:hAnsi="Times New Roman"/>
          <w:outline w:val="off"/>
          <w:shadow w:val="off"/>
          <w:emboss w:val="off"/>
          <w:imprint w:val="off"/>
          <w:color w:val="auto"/>
          <w:spacing w:val="0"/>
          <w:sz w:val="22"/>
          <w:szCs w:val="22"/>
        </w:rPr>
        <w:t>Similarly, the World Health Organization (2021) provides useful guidelines on healthcare system preparedness but lacks detailed recommendations on how predictive models can be utilized to optimize hospital resource allocation for hospitalized patients. The absence of real-time, integrated data-driven models that combine variables like vaccination, comorbidities, and patient demographics for resource optimization remains a significant gap.</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outline w:val="off"/>
          <w:shadow w:val="off"/>
          <w:emboss w:val="off"/>
          <w:imprint w:val="off"/>
          <w:color w:val="auto"/>
          <w:spacing w:val="0"/>
          <w:sz w:val="22"/>
          <w:szCs w:val="22"/>
        </w:rPr>
      </w:pPr>
      <w:r>
        <w:rPr>
          <w:rFonts w:ascii="Times New Roman" w:cs="Times New Roman" w:hAnsi="Times New Roman"/>
          <w:outline w:val="off"/>
          <w:shadow w:val="off"/>
          <w:emboss w:val="off"/>
          <w:imprint w:val="off"/>
          <w:color w:val="auto"/>
          <w:spacing w:val="0"/>
          <w:sz w:val="22"/>
          <w:szCs w:val="22"/>
        </w:rPr>
        <w:t>If this problem is not addressed, healthcare systems may continue to face shortages in critical resources such as ICU beds and ventilators, leading to avoidable deaths and prolonged hospital stays. This not only impacts patient outcomes but also puts immense pressure on healthcare providers, who must manage overwhelmed systems. The World Health Organization (WHO, 2021) warns that without proper preparedness and predictive capabilities, hospitals will be unprepared for future surges in cases, leading to delays in care and poor outcomes for patients.</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jc w:val="both"/>
        <w:rPr>
          <w:rFonts w:ascii="Times New Roman" w:cs="Times New Roman" w:hAnsi="Times New Roman"/>
          <w:outline w:val="off"/>
          <w:shadow w:val="off"/>
          <w:emboss w:val="off"/>
          <w:imprint w:val="off"/>
          <w:color w:val="auto"/>
          <w:spacing w:val="0"/>
          <w:sz w:val="22"/>
          <w:szCs w:val="22"/>
        </w:rPr>
      </w:pPr>
      <w:r>
        <w:rPr>
          <w:rFonts w:ascii="Times New Roman" w:cs="Times New Roman" w:hAnsi="Times New Roman"/>
          <w:outline w:val="off"/>
          <w:shadow w:val="off"/>
          <w:emboss w:val="off"/>
          <w:imprint w:val="off"/>
          <w:color w:val="auto"/>
          <w:spacing w:val="0"/>
          <w:sz w:val="22"/>
          <w:szCs w:val="22"/>
        </w:rPr>
        <w:t>While studies like those by Khatri et al. (2021) and Zhang et al. (2022) have explored predictive modeling for ICU admission and hospital resource allocation, they leave gaps in understanding the full range of patient characteristics influencing outcomes, particularly in relation to vaccination status, comorbidities, and their temporal relationship with hospital strain during surges. These gaps present an opportunity for further research that specifically focuses on hospitalized patients, their risk factors, and how healthcare systems can better allocate resources based on such predictions.</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80" w:line="276" w:lineRule="auto"/>
        <w:ind w:left="0" w:right="0" w:firstLine="0"/>
        <w:jc w:val="both"/>
        <w:rPr>
          <w:rFonts w:ascii="Times New Roman" w:cs="Times New Roman" w:hAnsi="Times New Roman"/>
          <w:b/>
          <w:outline w:val="off"/>
          <w:shadow w:val="off"/>
          <w:emboss w:val="off"/>
          <w:imprint w:val="off"/>
          <w:color w:val="auto"/>
          <w:spacing w:val="0"/>
          <w:sz w:val="22"/>
          <w:szCs w:val="22"/>
        </w:rPr>
      </w:pPr>
      <w:r>
        <w:rPr>
          <w:rFonts w:ascii="Times New Roman" w:cs="Times New Roman" w:hAnsi="Times New Roman"/>
          <w:b/>
          <w:outline w:val="off"/>
          <w:shadow w:val="off"/>
          <w:emboss w:val="off"/>
          <w:imprint w:val="off"/>
          <w:color w:val="auto"/>
          <w:spacing w:val="0"/>
          <w:sz w:val="22"/>
          <w:szCs w:val="22"/>
        </w:rPr>
        <w:t>References:</w:t>
      </w:r>
    </w:p>
    <w:p w14:paraId="00000008">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i w:val="off"/>
          <w:outline w:val="off"/>
          <w:shadow w:val="off"/>
          <w:emboss w:val="off"/>
          <w:imprint w:val="off"/>
          <w:color w:val="auto"/>
          <w:spacing w:val="0"/>
          <w:sz w:val="22"/>
          <w:szCs w:val="22"/>
        </w:rPr>
      </w:pPr>
      <w:r>
        <w:rPr>
          <w:rFonts w:ascii="Times New Roman" w:cs="Times New Roman" w:hAnsi="Times New Roman"/>
          <w:b w:val="off"/>
          <w:outline w:val="off"/>
          <w:shadow w:val="off"/>
          <w:emboss w:val="off"/>
          <w:imprint w:val="off"/>
          <w:color w:val="auto"/>
          <w:spacing w:val="0"/>
          <w:sz w:val="22"/>
          <w:szCs w:val="22"/>
        </w:rPr>
        <w:t xml:space="preserve">Bordes, S. J., et al. (2020). </w:t>
      </w:r>
      <w:r>
        <w:rPr>
          <w:rFonts w:ascii="Times New Roman" w:cs="Times New Roman" w:hAnsi="Times New Roman"/>
          <w:b w:val="off"/>
          <w:i/>
          <w:outline w:val="off"/>
          <w:shadow w:val="off"/>
          <w:emboss w:val="off"/>
          <w:imprint w:val="off"/>
          <w:color w:val="auto"/>
          <w:spacing w:val="0"/>
          <w:sz w:val="22"/>
          <w:szCs w:val="22"/>
        </w:rPr>
        <w:t>Impact of Pre-existing Conditions on COVID-19 Mortality Rates in Hospitalized Patients.</w:t>
      </w:r>
      <w:r>
        <w:rPr>
          <w:rFonts w:ascii="Times New Roman" w:cs="Times New Roman" w:hAnsi="Times New Roman"/>
          <w:b w:val="off"/>
          <w:i w:val="off"/>
          <w:outline w:val="off"/>
          <w:shadow w:val="off"/>
          <w:emboss w:val="off"/>
          <w:imprint w:val="off"/>
          <w:color w:val="auto"/>
          <w:spacing w:val="0"/>
          <w:sz w:val="22"/>
          <w:szCs w:val="22"/>
        </w:rPr>
        <w:t xml:space="preserve"> </w:t>
      </w:r>
      <w:r>
        <w:rPr>
          <w:rFonts w:ascii="Times New Roman" w:cs="Times New Roman" w:hAnsi="Times New Roman"/>
          <w:b w:val="off"/>
          <w:i/>
          <w:outline w:val="off"/>
          <w:shadow w:val="off"/>
          <w:emboss w:val="off"/>
          <w:imprint w:val="off"/>
          <w:color w:val="auto"/>
          <w:spacing w:val="0"/>
          <w:sz w:val="22"/>
          <w:szCs w:val="22"/>
        </w:rPr>
        <w:t>Journal of Clinical Medicine</w:t>
      </w:r>
      <w:r>
        <w:rPr>
          <w:rFonts w:ascii="Times New Roman" w:cs="Times New Roman" w:hAnsi="Times New Roman"/>
          <w:b w:val="off"/>
          <w:i w:val="off"/>
          <w:outline w:val="off"/>
          <w:shadow w:val="off"/>
          <w:emboss w:val="off"/>
          <w:imprint w:val="off"/>
          <w:color w:val="auto"/>
          <w:spacing w:val="0"/>
          <w:sz w:val="22"/>
          <w:szCs w:val="22"/>
        </w:rPr>
        <w:t>, 9(12), 4204.</w:t>
      </w:r>
    </w:p>
    <w:p w14:paraId="00000009">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i w:val="off"/>
          <w:outline w:val="off"/>
          <w:shadow w:val="off"/>
          <w:emboss w:val="off"/>
          <w:imprint w:val="off"/>
          <w:color w:val="auto"/>
          <w:spacing w:val="0"/>
          <w:sz w:val="22"/>
          <w:szCs w:val="22"/>
        </w:rPr>
      </w:pPr>
      <w:r>
        <w:rPr>
          <w:rFonts w:ascii="Times New Roman" w:cs="Times New Roman" w:hAnsi="Times New Roman"/>
          <w:b w:val="off"/>
          <w:i w:val="off"/>
          <w:outline w:val="off"/>
          <w:shadow w:val="off"/>
          <w:emboss w:val="off"/>
          <w:imprint w:val="off"/>
          <w:color w:val="auto"/>
          <w:spacing w:val="0"/>
          <w:sz w:val="22"/>
          <w:szCs w:val="22"/>
        </w:rPr>
        <w:t xml:space="preserve">World Health Organization (WHO). (2021). </w:t>
      </w:r>
      <w:r>
        <w:rPr>
          <w:rFonts w:ascii="Times New Roman" w:cs="Times New Roman" w:hAnsi="Times New Roman"/>
          <w:b w:val="off"/>
          <w:i/>
          <w:outline w:val="off"/>
          <w:shadow w:val="off"/>
          <w:emboss w:val="off"/>
          <w:imprint w:val="off"/>
          <w:color w:val="auto"/>
          <w:spacing w:val="0"/>
          <w:sz w:val="22"/>
          <w:szCs w:val="22"/>
        </w:rPr>
        <w:t>COVID-19: Preparedness and Response in Health Systems.</w:t>
      </w:r>
      <w:r>
        <w:rPr>
          <w:rFonts w:ascii="Times New Roman" w:cs="Times New Roman" w:hAnsi="Times New Roman"/>
          <w:b w:val="off"/>
          <w:i w:val="off"/>
          <w:outline w:val="off"/>
          <w:shadow w:val="off"/>
          <w:emboss w:val="off"/>
          <w:imprint w:val="off"/>
          <w:color w:val="auto"/>
          <w:spacing w:val="0"/>
          <w:sz w:val="22"/>
          <w:szCs w:val="22"/>
        </w:rPr>
        <w:t xml:space="preserve"> WHO Press.</w:t>
      </w:r>
    </w:p>
    <w:p w14:paraId="0000000A">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i w:val="off"/>
          <w:outline w:val="off"/>
          <w:shadow w:val="off"/>
          <w:emboss w:val="off"/>
          <w:imprint w:val="off"/>
          <w:color w:val="auto"/>
          <w:spacing w:val="0"/>
          <w:sz w:val="22"/>
          <w:szCs w:val="22"/>
        </w:rPr>
      </w:pPr>
      <w:r>
        <w:rPr>
          <w:rFonts w:ascii="Times New Roman" w:cs="Times New Roman" w:hAnsi="Times New Roman"/>
          <w:b w:val="off"/>
          <w:i w:val="off"/>
          <w:outline w:val="off"/>
          <w:shadow w:val="off"/>
          <w:emboss w:val="off"/>
          <w:imprint w:val="off"/>
          <w:color w:val="auto"/>
          <w:spacing w:val="0"/>
          <w:sz w:val="22"/>
          <w:szCs w:val="22"/>
        </w:rPr>
        <w:t xml:space="preserve">Khatri, S. S., et al. (2021). </w:t>
      </w:r>
      <w:r>
        <w:rPr>
          <w:rFonts w:ascii="Times New Roman" w:cs="Times New Roman" w:hAnsi="Times New Roman"/>
          <w:b w:val="off"/>
          <w:i/>
          <w:outline w:val="off"/>
          <w:shadow w:val="off"/>
          <w:emboss w:val="off"/>
          <w:imprint w:val="off"/>
          <w:color w:val="auto"/>
          <w:spacing w:val="0"/>
          <w:sz w:val="22"/>
          <w:szCs w:val="22"/>
        </w:rPr>
        <w:t>Predicting COVID-19 ICU Admission: A Retrospective Study of Patients’ Health Profiles.</w:t>
      </w:r>
      <w:r>
        <w:rPr>
          <w:rFonts w:ascii="Times New Roman" w:cs="Times New Roman" w:hAnsi="Times New Roman"/>
          <w:b w:val="off"/>
          <w:i w:val="off"/>
          <w:outline w:val="off"/>
          <w:shadow w:val="off"/>
          <w:emboss w:val="off"/>
          <w:imprint w:val="off"/>
          <w:color w:val="auto"/>
          <w:spacing w:val="0"/>
          <w:sz w:val="22"/>
          <w:szCs w:val="22"/>
        </w:rPr>
        <w:t xml:space="preserve"> </w:t>
      </w:r>
      <w:r>
        <w:rPr>
          <w:rFonts w:ascii="Times New Roman" w:cs="Times New Roman" w:hAnsi="Times New Roman"/>
          <w:b w:val="off"/>
          <w:i/>
          <w:outline w:val="off"/>
          <w:shadow w:val="off"/>
          <w:emboss w:val="off"/>
          <w:imprint w:val="off"/>
          <w:color w:val="auto"/>
          <w:spacing w:val="0"/>
          <w:sz w:val="22"/>
          <w:szCs w:val="22"/>
        </w:rPr>
        <w:t>Journal of Hospital Management</w:t>
      </w:r>
      <w:r>
        <w:rPr>
          <w:rFonts w:ascii="Times New Roman" w:cs="Times New Roman" w:hAnsi="Times New Roman"/>
          <w:b w:val="off"/>
          <w:i w:val="off"/>
          <w:outline w:val="off"/>
          <w:shadow w:val="off"/>
          <w:emboss w:val="off"/>
          <w:imprint w:val="off"/>
          <w:color w:val="auto"/>
          <w:spacing w:val="0"/>
          <w:sz w:val="22"/>
          <w:szCs w:val="22"/>
        </w:rPr>
        <w:t>, 12(3), 123-135.</w:t>
      </w:r>
    </w:p>
    <w:p w14:paraId="0000000B">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i w:val="off"/>
          <w:outline w:val="off"/>
          <w:shadow w:val="off"/>
          <w:emboss w:val="off"/>
          <w:imprint w:val="off"/>
          <w:color w:val="auto"/>
          <w:spacing w:val="0"/>
          <w:sz w:val="22"/>
          <w:szCs w:val="22"/>
        </w:rPr>
      </w:pPr>
      <w:r>
        <w:rPr>
          <w:rFonts w:ascii="Times New Roman" w:cs="Times New Roman" w:hAnsi="Times New Roman"/>
          <w:b w:val="off"/>
          <w:i w:val="off"/>
          <w:outline w:val="off"/>
          <w:shadow w:val="off"/>
          <w:emboss w:val="off"/>
          <w:imprint w:val="off"/>
          <w:color w:val="auto"/>
          <w:spacing w:val="0"/>
          <w:sz w:val="22"/>
          <w:szCs w:val="22"/>
        </w:rPr>
        <w:t xml:space="preserve">Zhang, L., et al. (2022). </w:t>
      </w:r>
      <w:r>
        <w:rPr>
          <w:rFonts w:ascii="Times New Roman" w:cs="Times New Roman" w:hAnsi="Times New Roman"/>
          <w:b w:val="off"/>
          <w:i/>
          <w:outline w:val="off"/>
          <w:shadow w:val="off"/>
          <w:emboss w:val="off"/>
          <w:imprint w:val="off"/>
          <w:color w:val="auto"/>
          <w:spacing w:val="0"/>
          <w:sz w:val="22"/>
          <w:szCs w:val="22"/>
        </w:rPr>
        <w:t>Modeling Hospital Resource Allocation for COVID-19: A Data-Driven Approach.</w:t>
      </w:r>
      <w:r>
        <w:rPr>
          <w:rFonts w:ascii="Times New Roman" w:cs="Times New Roman" w:hAnsi="Times New Roman"/>
          <w:b w:val="off"/>
          <w:i w:val="off"/>
          <w:outline w:val="off"/>
          <w:shadow w:val="off"/>
          <w:emboss w:val="off"/>
          <w:imprint w:val="off"/>
          <w:color w:val="auto"/>
          <w:spacing w:val="0"/>
          <w:sz w:val="22"/>
          <w:szCs w:val="22"/>
        </w:rPr>
        <w:t xml:space="preserve"> </w:t>
      </w:r>
      <w:r>
        <w:rPr>
          <w:rFonts w:ascii="Times New Roman" w:cs="Times New Roman" w:hAnsi="Times New Roman"/>
          <w:b w:val="off"/>
          <w:i/>
          <w:outline w:val="off"/>
          <w:shadow w:val="off"/>
          <w:emboss w:val="off"/>
          <w:imprint w:val="off"/>
          <w:color w:val="auto"/>
          <w:spacing w:val="0"/>
          <w:sz w:val="22"/>
          <w:szCs w:val="22"/>
        </w:rPr>
        <w:t>Healthcare Informatics Journal</w:t>
      </w:r>
      <w:r>
        <w:rPr>
          <w:rFonts w:ascii="Times New Roman" w:cs="Times New Roman" w:hAnsi="Times New Roman"/>
          <w:b w:val="off"/>
          <w:i w:val="off"/>
          <w:outline w:val="off"/>
          <w:shadow w:val="off"/>
          <w:emboss w:val="off"/>
          <w:imprint w:val="off"/>
          <w:color w:val="auto"/>
          <w:spacing w:val="0"/>
          <w:sz w:val="22"/>
          <w:szCs w:val="22"/>
        </w:rPr>
        <w:t>, 28(1), 98-111.</w:t>
      </w:r>
    </w:p>
    <w:p w14:paraId="0000000C">
      <w:pPr>
        <w:spacing w:line="276"/>
        <w:jc w:val="both"/>
        <w:rPr>
          <w:rFonts w:ascii="Times New Roman" w:cs="Times New Roman" w:hAnsi="Times New Roman"/>
          <w:b w:val="off"/>
          <w:bCs w:val="off"/>
          <w:color w:val="auto"/>
          <w:sz w:val="22"/>
          <w:szCs w:val="22"/>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decimal"/>
      <w:suff w:val="tab"/>
      <w:lvlText w:val="%1"/>
      <w:lvlJc w:val="left"/>
      <w:pPr>
        <w:ind w:left="720" w:hanging="360"/>
      </w:pPr>
      <w:rPr/>
    </w:lvl>
  </w:abstractNum>
  <w:abstractNum w:abstractNumId="1">
    <w:multiLevelType w:val="hybridMultilevel"/>
    <w:lvl w:ilvl="0" w:tentative="1">
      <w:start w:val="1"/>
      <w:numFmt w:val="bullet"/>
      <w:suff w:val="tab"/>
      <w:lvlText w:val="•"/>
      <w:lvlJc w:val="left"/>
      <w:pPr>
        <w:ind w:left="720" w:hanging="360"/>
      </w:pPr>
      <w:rPr/>
    </w:lvl>
  </w:abstractNum>
  <w:abstractNum w:abstractNumId="2">
    <w:multiLevelType w:val="hybridMultilevel"/>
    <w:lvl w:ilvl="0" w:tentative="1">
      <w:start w:val="1"/>
      <w:numFmt w:val="decimal"/>
      <w:suff w:val="tab"/>
      <w:lvlText w:val="%1"/>
      <w:lvlJc w:val="left"/>
      <w:pPr>
        <w:ind w:left="720" w:hanging="360"/>
      </w:pPr>
      <w:rPr/>
    </w:lvl>
  </w:abstractNum>
  <w:abstractNum w:abstractNumId="3">
    <w:multiLevelType w:val="hybridMultilevel"/>
    <w:lvl w:ilvl="0" w:tentative="1">
      <w:start w:val="1"/>
      <w:numFmt w:val="bullet"/>
      <w:suff w:val="tab"/>
      <w:lvlText w:val="•"/>
      <w:lvlJc w:val="left"/>
      <w:pPr>
        <w:ind w:left="720" w:hanging="360"/>
      </w:pPr>
      <w:rPr/>
    </w:lvl>
  </w:abstractNum>
  <w:abstractNum w:abstractNumId="4">
    <w:multiLevelType w:val="hybridMultilevel"/>
    <w:lvl w:ilvl="0" w:tentative="1">
      <w:start w:val="1"/>
      <w:numFmt w:val="decimal"/>
      <w:suff w:val="tab"/>
      <w:lvlText w:val="%1"/>
      <w:lvlJc w:val="left"/>
      <w:pPr>
        <w:ind w:left="720" w:hanging="360"/>
      </w:pPr>
      <w:rPr/>
    </w:lvl>
  </w:abstractNum>
  <w:abstractNum w:abstractNumId="5">
    <w:multiLevelType w:val="hybridMultilevel"/>
    <w:lvl w:ilvl="0" w:tentative="1">
      <w:start w:val="1"/>
      <w:numFmt w:val="bullet"/>
      <w:suff w:val="tab"/>
      <w:lvlText w:val="•"/>
      <w:lvlJc w:val="left"/>
      <w:pPr>
        <w:ind w:left="720" w:hanging="360"/>
      </w:pPr>
      <w:rPr/>
    </w:lvl>
  </w:abstractNum>
  <w:abstractNum w:abstractNumId="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decimal"/>
      <w:suff w:val="tab"/>
      <w:lvlText w:val="%1"/>
      <w:lvlJc w:val="left"/>
      <w:pPr>
        <w:ind w:left="720" w:hanging="360"/>
      </w:pPr>
      <w:rPr/>
    </w:lvl>
  </w:abstractNum>
  <w:abstractNum w:abstractNumId="9">
    <w:multiLevelType w:val="hybridMultilevel"/>
    <w:lvl w:ilvl="0" w:tentative="1">
      <w:start w:val="1"/>
      <w:numFmt w:val="decimal"/>
      <w:suff w:val="tab"/>
      <w:lvlText w:val="%1"/>
      <w:lvlJc w:val="left"/>
      <w:pPr>
        <w:ind w:left="720" w:hanging="360"/>
      </w:pPr>
      <w:rPr/>
    </w:lvl>
  </w:abstractNum>
  <w:abstractNum w:abstractNumId="10">
    <w:multiLevelType w:val="hybridMultilevel"/>
    <w:lvl w:ilvl="0" w:tentative="1">
      <w:start w:val="1"/>
      <w:numFmt w:val="bullet"/>
      <w:suff w:val="tab"/>
      <w:lvlText w:val="•"/>
      <w:lvlJc w:val="left"/>
      <w:pPr>
        <w:ind w:left="720" w:hanging="360"/>
      </w:pPr>
      <w:rPr/>
    </w:lvl>
  </w:abstractNum>
  <w:abstractNum w:abstractNumId="11">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2">
    <w:multiLevelType w:val="hybridMultilevel"/>
    <w:lvl w:ilvl="0" w:tentative="0">
      <w:start w:val="1"/>
      <w:numFmt w:val="bullet"/>
      <w:suff w:val="tab"/>
      <w:lvlText w:val=""/>
      <w:lvlJc w:val="left"/>
      <w:pPr>
        <w:ind w:left="720" w:hanging="360"/>
      </w:pPr>
      <w:rPr>
        <w:rFonts w:ascii="Symbol" w:hAnsi="Symbol"/>
      </w:rPr>
    </w:lvl>
  </w:abstractNum>
  <w:abstractNum w:abstractNumId="13">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4">
    <w:multiLevelType w:val="hybridMultilevel"/>
    <w:lvl w:ilvl="0" w:tentative="0">
      <w:start w:val="1"/>
      <w:numFmt w:val="bullet"/>
      <w:suff w:val="tab"/>
      <w:lvlText w:val=""/>
      <w:lvlJc w:val="left"/>
      <w:pPr>
        <w:ind w:left="720" w:hanging="360"/>
      </w:pPr>
      <w:rPr>
        <w:rFonts w:ascii="Symbol" w:hAnsi="Symbol"/>
      </w:rPr>
    </w:lvl>
  </w:abstractNum>
  <w:abstractNum w:abstractNumId="15">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1">
      <w:start w:val="1"/>
      <w:numFmt w:val="bullet"/>
      <w:suff w:val="tab"/>
      <w:lvlText w:val="•"/>
      <w:lvlJc w:val="left"/>
      <w:pPr>
        <w:ind w:left="720" w:hanging="360"/>
      </w:pPr>
      <w:rPr/>
    </w:lvl>
  </w:abstractNum>
  <w:abstractNum w:abstractNumId="18">
    <w:multiLevelType w:val="hybridMultilevel"/>
    <w:lvl w:ilvl="0" w:tentative="1">
      <w:start w:val="1"/>
      <w:numFmt w:val="bullet"/>
      <w:suff w:val="tab"/>
      <w:lvlText w:val="•"/>
      <w:lvlJc w:val="left"/>
      <w:pPr>
        <w:ind w:left="720" w:hanging="360"/>
      </w:pPr>
      <w:rPr/>
    </w:lvl>
  </w:abstractNum>
  <w:abstractNum w:abstractNumId="19">
    <w:multiLevelType w:val="hybridMultilevel"/>
    <w:lvl w:ilvl="0" w:tentative="1">
      <w:start w:val="1"/>
      <w:numFmt w:val="bullet"/>
      <w:suff w:val="tab"/>
      <w:lvlText w:val="•"/>
      <w:lvlJc w:val="left"/>
      <w:pPr>
        <w:ind w:left="720" w:hanging="360"/>
      </w:pPr>
      <w:rPr/>
    </w:lvl>
  </w:abstractNum>
  <w:abstractNum w:abstractNumId="20">
    <w:multiLevelType w:val="hybridMultilevel"/>
    <w:lvl w:ilvl="0" w:tentative="1">
      <w:start w:val="1"/>
      <w:numFmt w:val="decimal"/>
      <w:suff w:val="tab"/>
      <w:lvlText w:val="%1"/>
      <w:lvlJc w:val="left"/>
      <w:pPr>
        <w:ind w:left="720" w:hanging="360"/>
      </w:pPr>
      <w:rPr/>
    </w:lvl>
  </w:abstractNum>
  <w:abstractNum w:abstractNumId="21">
    <w:multiLevelType w:val="hybridMultilevel"/>
    <w:lvl w:ilvl="0" w:tentative="1">
      <w:start w:val="1"/>
      <w:numFmt w:val="bullet"/>
      <w:suff w:val="tab"/>
      <w:lvlText w:val="•"/>
      <w:lvlJc w:val="left"/>
      <w:pPr>
        <w:ind w:left="720" w:hanging="360"/>
      </w:pPr>
      <w:rPr/>
    </w:lvl>
  </w:abstractNum>
  <w:abstractNum w:abstractNumId="2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10"/>
  </w:num>
  <w:num w:numId="11">
    <w:abstractNumId w:val="12"/>
  </w:num>
  <w:num w:numId="12">
    <w:abstractNumId w:val="14"/>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Author</dc:creator>
  <cp:lastModifiedBy>Unknown Author</cp:lastModifiedBy>
</cp:coreProperties>
</file>