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27CE19" w14:textId="77777777" w:rsidR="00BC3171" w:rsidRPr="00BC3171" w:rsidRDefault="00BC3171" w:rsidP="00BC3171">
      <w:pPr>
        <w:jc w:val="center"/>
        <w:rPr>
          <w:sz w:val="32"/>
          <w:szCs w:val="32"/>
        </w:rPr>
      </w:pPr>
      <w:r w:rsidRPr="00BC3171">
        <w:rPr>
          <w:b/>
          <w:bCs/>
          <w:sz w:val="32"/>
          <w:szCs w:val="32"/>
        </w:rPr>
        <w:t>Data User Experience Document</w:t>
      </w:r>
    </w:p>
    <w:p w14:paraId="2E1A821B" w14:textId="77777777" w:rsidR="00BC3171" w:rsidRPr="00BC3171" w:rsidRDefault="00BC3171" w:rsidP="00BC3171">
      <w:pPr>
        <w:jc w:val="both"/>
      </w:pPr>
      <w:r w:rsidRPr="00BC3171">
        <w:rPr>
          <w:b/>
          <w:bCs/>
        </w:rPr>
        <w:t>Objective:</w:t>
      </w:r>
      <w:r w:rsidRPr="00BC3171">
        <w:t xml:space="preserve"> The ideal data workflow experience for a quant researcher should be seamless and efficient, allowing them to focus on extracting insights from data rather than struggling with technical obstacles. This workflow, supported by our data platform, is divided into four main stages: Data Discovery, Data Access and Retrieval, Data Preparation and Transformation, and Analysis Integration.</w:t>
      </w:r>
    </w:p>
    <w:p w14:paraId="49FE044C" w14:textId="77777777" w:rsidR="00BC3171" w:rsidRPr="00BC3171" w:rsidRDefault="00BC3171" w:rsidP="00BC3171">
      <w:pPr>
        <w:jc w:val="both"/>
      </w:pPr>
      <w:r w:rsidRPr="00BC3171">
        <w:rPr>
          <w:b/>
          <w:bCs/>
        </w:rPr>
        <w:t>1. Data Discovery</w:t>
      </w:r>
      <w:r w:rsidRPr="00BC3171">
        <w:t xml:space="preserve"> The journey begins with finding relevant datasets. Researchers use the </w:t>
      </w:r>
      <w:r w:rsidRPr="00BC3171">
        <w:rPr>
          <w:b/>
          <w:bCs/>
        </w:rPr>
        <w:t>Data Catalog</w:t>
      </w:r>
      <w:r w:rsidRPr="00BC3171">
        <w:t>, an organized inventory of available datasets enriched with metadata. The catalog categorizes datasets based on attributes such as company, equity, fixed income, etc., making it easy for researchers to identify the type of data they need. Features like search by keywords, category, and fields, coupled with metadata like descriptions and data parameters, help researchers quickly locate the datasets they require. For example, a researcher interested in intraday data for specific stocks can easily search within the Equities category using relevant keywords like "AAPL Intraday Data."</w:t>
      </w:r>
    </w:p>
    <w:p w14:paraId="30F7C42F" w14:textId="77777777" w:rsidR="00BC3171" w:rsidRPr="00BC3171" w:rsidRDefault="00BC3171" w:rsidP="00BC3171">
      <w:pPr>
        <w:jc w:val="both"/>
      </w:pPr>
      <w:r w:rsidRPr="00BC3171">
        <w:rPr>
          <w:b/>
          <w:bCs/>
        </w:rPr>
        <w:t>2. Data Access and Retrieval</w:t>
      </w:r>
      <w:r w:rsidRPr="00BC3171">
        <w:t xml:space="preserve"> Once relevant datasets are identified, researchers move on to data access and retrieval. The </w:t>
      </w:r>
      <w:r w:rsidRPr="00BC3171">
        <w:rPr>
          <w:b/>
          <w:bCs/>
        </w:rPr>
        <w:t>Data Lake</w:t>
      </w:r>
      <w:r w:rsidRPr="00BC3171">
        <w:t xml:space="preserve"> component, in tandem with the </w:t>
      </w:r>
      <w:r w:rsidRPr="00BC3171">
        <w:rPr>
          <w:b/>
          <w:bCs/>
        </w:rPr>
        <w:t>Data Catalog</w:t>
      </w:r>
      <w:r w:rsidRPr="00BC3171">
        <w:t>, allows the quant researcher to access raw and processed datasets stored in the platform. The Data Lake accommodates diverse datasets such as raw tick data, processed bars, and news data, and is designed for scalability. Researchers can retrieve specific datasets for further use by interacting with simple APIs or SQL-like queries. This flexibility allows seamless access to both raw and transformed data, which is necessary for conducting exploratory analysis or validating initial hypotheses.</w:t>
      </w:r>
    </w:p>
    <w:p w14:paraId="2C2DFA1F" w14:textId="77777777" w:rsidR="00BC3171" w:rsidRPr="00BC3171" w:rsidRDefault="00BC3171" w:rsidP="00BC3171">
      <w:pPr>
        <w:jc w:val="both"/>
      </w:pPr>
      <w:r w:rsidRPr="00BC3171">
        <w:t>For instance, a researcher can access historical price data from the Data Lake, filtered by category or specific symbols, through programmatic access enabled by the Data Catalog.</w:t>
      </w:r>
    </w:p>
    <w:p w14:paraId="7AE12FD4" w14:textId="77777777" w:rsidR="00BC3171" w:rsidRPr="00BC3171" w:rsidRDefault="00BC3171" w:rsidP="00BC3171">
      <w:pPr>
        <w:jc w:val="both"/>
      </w:pPr>
      <w:r w:rsidRPr="00BC3171">
        <w:rPr>
          <w:b/>
          <w:bCs/>
        </w:rPr>
        <w:t>3. Data Preparation and Transformation</w:t>
      </w:r>
      <w:r w:rsidRPr="00BC3171">
        <w:t xml:space="preserve"> In this phase, researchers utilize the </w:t>
      </w:r>
      <w:r w:rsidRPr="00BC3171">
        <w:rPr>
          <w:b/>
          <w:bCs/>
        </w:rPr>
        <w:t>Data Workbench</w:t>
      </w:r>
      <w:r w:rsidRPr="00BC3171">
        <w:t xml:space="preserve"> to prepare the data for analysis. The Data Workbench serves as an interactive environment where researchers can transform the raw data—performing operations such as cleaning, aggregating, filtering, and merging to make it analysis-ready. This process may include removing anomalies, aggregating tick data into desired intervals, or calculating sentiment scores for news events.</w:t>
      </w:r>
    </w:p>
    <w:p w14:paraId="2BF4DD8A" w14:textId="10F00D54" w:rsidR="00BC3171" w:rsidRPr="00BC3171" w:rsidRDefault="00BC3171" w:rsidP="00BC3171">
      <w:pPr>
        <w:jc w:val="both"/>
      </w:pPr>
      <w:r w:rsidRPr="00BC3171">
        <w:t>The Data Workbench also allows the quant researcher to apply custom transformation functions. For example, they could use a clean_</w:t>
      </w:r>
      <w:r w:rsidRPr="00BC3171">
        <w:t>data(</w:t>
      </w:r>
      <w:r w:rsidRPr="00BC3171">
        <w:t>) function to remove noise from raw intraday data or aggregate minute-level data into hourly averages. The workbench streamlines the data transformation process, ensuring that the datasets are clean, consistent, and ready for quantitative research.</w:t>
      </w:r>
    </w:p>
    <w:p w14:paraId="6BE3C4D5" w14:textId="59709061" w:rsidR="00BC3171" w:rsidRPr="00BC3171" w:rsidRDefault="00BC3171" w:rsidP="00BC3171">
      <w:pPr>
        <w:jc w:val="both"/>
      </w:pPr>
      <w:r w:rsidRPr="00BC3171">
        <w:rPr>
          <w:b/>
          <w:bCs/>
        </w:rPr>
        <w:lastRenderedPageBreak/>
        <w:t>4. Analysis Integration</w:t>
      </w:r>
      <w:r w:rsidRPr="00BC3171">
        <w:t xml:space="preserve"> Once the data has been prepared and transformed in the Data Workbench, the next step is integrating it into a researcher’s analysis environment. The </w:t>
      </w:r>
      <w:r w:rsidRPr="00BC3171">
        <w:rPr>
          <w:b/>
          <w:bCs/>
        </w:rPr>
        <w:t>Quant Data Models</w:t>
      </w:r>
      <w:r w:rsidRPr="00BC3171">
        <w:t xml:space="preserve"> and </w:t>
      </w:r>
      <w:r w:rsidRPr="00BC3171">
        <w:rPr>
          <w:b/>
          <w:bCs/>
        </w:rPr>
        <w:t>Workbench</w:t>
      </w:r>
      <w:r w:rsidRPr="00BC3171">
        <w:t xml:space="preserve"> components ensure that transformed datasets are available in a format suitable for research tasks like </w:t>
      </w:r>
      <w:r w:rsidRPr="00BC3171">
        <w:t>back testing</w:t>
      </w:r>
      <w:r w:rsidRPr="00BC3171">
        <w:t>, event studies, and other forms of statistical analysis.</w:t>
      </w:r>
    </w:p>
    <w:p w14:paraId="1C030715" w14:textId="77777777" w:rsidR="00BC3171" w:rsidRPr="00BC3171" w:rsidRDefault="00BC3171" w:rsidP="00BC3171">
      <w:pPr>
        <w:jc w:val="both"/>
      </w:pPr>
      <w:r w:rsidRPr="00BC3171">
        <w:t>Data from the workbench can be accessed directly into a Jupyter Notebook or any Python-based analysis environment, allowing researchers to conduct sophisticated analysis such as an event study that evaluates the impact of news events on intraday price movements. For instance, data on intraday price changes, obtained through the Data Workbench, can be merged with relevant news sentiment data to study correlations. This integration is crucial for researchers, allowing them to move effortlessly from data preparation to analysis and modeling.</w:t>
      </w:r>
    </w:p>
    <w:p w14:paraId="3B337317" w14:textId="77777777" w:rsidR="00BC3171" w:rsidRPr="00BC3171" w:rsidRDefault="00BC3171" w:rsidP="00BC3171">
      <w:pPr>
        <w:jc w:val="both"/>
      </w:pPr>
      <w:r w:rsidRPr="00BC3171">
        <w:t>The entire workflow, from discovering datasets in the Data Catalog to conducting a final analysis, is designed to minimize complexity and improve productivity. With a user-friendly interface and programmatic access to every component, quant researchers can dedicate more time to interpreting results rather than managing data logistics, providing a smooth and supportive data journey from start to finish.</w:t>
      </w:r>
    </w:p>
    <w:p w14:paraId="0E29A319" w14:textId="77777777" w:rsidR="00D476CA" w:rsidRDefault="00D476CA"/>
    <w:sectPr w:rsidR="00D476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171"/>
    <w:rsid w:val="00030896"/>
    <w:rsid w:val="00BC3171"/>
    <w:rsid w:val="00D476CA"/>
    <w:rsid w:val="00E46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B6FDAF"/>
  <w15:chartTrackingRefBased/>
  <w15:docId w15:val="{87A0D431-3D81-0D49-ACD7-17814B6BD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171"/>
    <w:rPr>
      <w:rFonts w:eastAsiaTheme="majorEastAsia" w:cstheme="majorBidi"/>
      <w:color w:val="272727" w:themeColor="text1" w:themeTint="D8"/>
    </w:rPr>
  </w:style>
  <w:style w:type="paragraph" w:styleId="Title">
    <w:name w:val="Title"/>
    <w:basedOn w:val="Normal"/>
    <w:next w:val="Normal"/>
    <w:link w:val="TitleChar"/>
    <w:uiPriority w:val="10"/>
    <w:qFormat/>
    <w:rsid w:val="00BC3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171"/>
    <w:pPr>
      <w:spacing w:before="160"/>
      <w:jc w:val="center"/>
    </w:pPr>
    <w:rPr>
      <w:i/>
      <w:iCs/>
      <w:color w:val="404040" w:themeColor="text1" w:themeTint="BF"/>
    </w:rPr>
  </w:style>
  <w:style w:type="character" w:customStyle="1" w:styleId="QuoteChar">
    <w:name w:val="Quote Char"/>
    <w:basedOn w:val="DefaultParagraphFont"/>
    <w:link w:val="Quote"/>
    <w:uiPriority w:val="29"/>
    <w:rsid w:val="00BC3171"/>
    <w:rPr>
      <w:i/>
      <w:iCs/>
      <w:color w:val="404040" w:themeColor="text1" w:themeTint="BF"/>
    </w:rPr>
  </w:style>
  <w:style w:type="paragraph" w:styleId="ListParagraph">
    <w:name w:val="List Paragraph"/>
    <w:basedOn w:val="Normal"/>
    <w:uiPriority w:val="34"/>
    <w:qFormat/>
    <w:rsid w:val="00BC3171"/>
    <w:pPr>
      <w:ind w:left="720"/>
      <w:contextualSpacing/>
    </w:pPr>
  </w:style>
  <w:style w:type="character" w:styleId="IntenseEmphasis">
    <w:name w:val="Intense Emphasis"/>
    <w:basedOn w:val="DefaultParagraphFont"/>
    <w:uiPriority w:val="21"/>
    <w:qFormat/>
    <w:rsid w:val="00BC3171"/>
    <w:rPr>
      <w:i/>
      <w:iCs/>
      <w:color w:val="0F4761" w:themeColor="accent1" w:themeShade="BF"/>
    </w:rPr>
  </w:style>
  <w:style w:type="paragraph" w:styleId="IntenseQuote">
    <w:name w:val="Intense Quote"/>
    <w:basedOn w:val="Normal"/>
    <w:next w:val="Normal"/>
    <w:link w:val="IntenseQuoteChar"/>
    <w:uiPriority w:val="30"/>
    <w:qFormat/>
    <w:rsid w:val="00BC3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171"/>
    <w:rPr>
      <w:i/>
      <w:iCs/>
      <w:color w:val="0F4761" w:themeColor="accent1" w:themeShade="BF"/>
    </w:rPr>
  </w:style>
  <w:style w:type="character" w:styleId="IntenseReference">
    <w:name w:val="Intense Reference"/>
    <w:basedOn w:val="DefaultParagraphFont"/>
    <w:uiPriority w:val="32"/>
    <w:qFormat/>
    <w:rsid w:val="00BC31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0965851">
      <w:bodyDiv w:val="1"/>
      <w:marLeft w:val="0"/>
      <w:marRight w:val="0"/>
      <w:marTop w:val="0"/>
      <w:marBottom w:val="0"/>
      <w:divBdr>
        <w:top w:val="none" w:sz="0" w:space="0" w:color="auto"/>
        <w:left w:val="none" w:sz="0" w:space="0" w:color="auto"/>
        <w:bottom w:val="none" w:sz="0" w:space="0" w:color="auto"/>
        <w:right w:val="none" w:sz="0" w:space="0" w:color="auto"/>
      </w:divBdr>
    </w:div>
    <w:div w:id="705982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619</Words>
  <Characters>3530</Characters>
  <Application>Microsoft Office Word</Application>
  <DocSecurity>0</DocSecurity>
  <Lines>29</Lines>
  <Paragraphs>8</Paragraphs>
  <ScaleCrop>false</ScaleCrop>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Pratyush Kalli</dc:creator>
  <cp:keywords/>
  <dc:description/>
  <cp:lastModifiedBy>Pratyush Kalli</cp:lastModifiedBy>
  <cp:revision>1</cp:revision>
  <dcterms:created xsi:type="dcterms:W3CDTF">2024-11-17T21:46:00Z</dcterms:created>
  <dcterms:modified xsi:type="dcterms:W3CDTF">2024-11-17T21:49:00Z</dcterms:modified>
</cp:coreProperties>
</file>