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10D4" w:rsidRDefault="00000000">
      <w:pPr>
        <w:spacing w:before="480" w:after="120"/>
        <w:jc w:val="center"/>
      </w:pPr>
      <w:r>
        <w:rPr>
          <w:rFonts w:ascii="Arial" w:hAnsi="Arial"/>
          <w:b/>
          <w:color w:val="1F3864"/>
          <w:sz w:val="52"/>
        </w:rPr>
        <w:t>AI Project Portfolio Tracker</w:t>
      </w:r>
    </w:p>
    <w:p w:rsidR="007C10D4" w:rsidRDefault="00000000">
      <w:pPr>
        <w:spacing w:after="80"/>
        <w:jc w:val="center"/>
      </w:pPr>
      <w:r>
        <w:rPr>
          <w:rFonts w:ascii="Arial" w:hAnsi="Arial"/>
          <w:color w:val="555555"/>
          <w:sz w:val="24"/>
        </w:rPr>
        <w:t>NTAI TOPS Program  •  Pratyusha Mogalisetti</w:t>
      </w:r>
    </w:p>
    <w:p w:rsidR="007C10D4" w:rsidRDefault="00000000">
      <w:pPr>
        <w:spacing w:after="400"/>
        <w:jc w:val="center"/>
      </w:pPr>
      <w:r>
        <w:rPr>
          <w:rFonts w:ascii="Arial" w:hAnsi="Arial"/>
          <w:i/>
          <w:color w:val="888888"/>
          <w:sz w:val="20"/>
        </w:rPr>
        <w:t>33 Projects  |  Python + Generative AI  |  1-2 Weeks Each</w:t>
      </w:r>
    </w:p>
    <w:tbl>
      <w:tblPr>
        <w:tblW w:w="0" w:type="auto"/>
        <w:jc w:val="center"/>
        <w:tblLook w:val="04A0" w:firstRow="1" w:lastRow="0" w:firstColumn="1" w:lastColumn="0" w:noHBand="0" w:noVBand="1"/>
      </w:tblPr>
      <w:tblGrid>
        <w:gridCol w:w="9360"/>
      </w:tblGrid>
      <w:tr w:rsidR="007C10D4">
        <w:trPr>
          <w:jc w:val="center"/>
        </w:trPr>
        <w:tc>
          <w:tcPr>
            <w:tcW w:w="9360" w:type="dxa"/>
            <w:tcBorders>
              <w:top w:val="single" w:sz="6" w:space="0" w:color="2E5FA3"/>
              <w:left w:val="single" w:sz="6" w:space="0" w:color="2E5FA3"/>
              <w:bottom w:val="single" w:sz="6" w:space="0" w:color="2E5FA3"/>
              <w:right w:val="single" w:sz="6" w:space="0" w:color="2E5FA3"/>
            </w:tcBorders>
            <w:shd w:val="clear" w:color="auto" w:fill="EEF4FB"/>
          </w:tcPr>
          <w:p w:rsidR="007C10D4" w:rsidRDefault="007C10D4"/>
          <w:p w:rsidR="007C10D4" w:rsidRDefault="00000000">
            <w:pPr>
              <w:spacing w:before="120" w:after="80"/>
            </w:pPr>
            <w:r>
              <w:rPr>
                <w:rFonts w:ascii="Arial" w:hAnsi="Arial"/>
                <w:b/>
                <w:color w:val="1F3864"/>
              </w:rPr>
              <w:t>How to use this tracker</w:t>
            </w:r>
          </w:p>
          <w:p w:rsidR="007C10D4" w:rsidRDefault="00000000">
            <w:pPr>
              <w:spacing w:before="20" w:after="20"/>
            </w:pPr>
            <w:r>
              <w:rPr>
                <w:rFonts w:ascii="Arial" w:hAnsi="Arial"/>
                <w:b/>
                <w:color w:val="1F3864"/>
                <w:sz w:val="18"/>
              </w:rPr>
              <w:t xml:space="preserve">  Status: </w:t>
            </w:r>
            <w:r>
              <w:rPr>
                <w:rFonts w:ascii="Arial" w:hAnsi="Arial"/>
                <w:color w:val="555555"/>
                <w:sz w:val="18"/>
              </w:rPr>
              <w:t>Not Started / In Progress / Complete / Paused</w:t>
            </w:r>
          </w:p>
          <w:p w:rsidR="007C10D4" w:rsidRDefault="00000000">
            <w:pPr>
              <w:spacing w:before="20" w:after="20"/>
            </w:pPr>
            <w:r>
              <w:rPr>
                <w:rFonts w:ascii="Arial" w:hAnsi="Arial"/>
                <w:b/>
                <w:color w:val="1F3864"/>
                <w:sz w:val="18"/>
              </w:rPr>
              <w:t xml:space="preserve">  Start &amp; End Date: </w:t>
            </w:r>
            <w:r>
              <w:rPr>
                <w:rFonts w:ascii="Arial" w:hAnsi="Arial"/>
                <w:color w:val="555555"/>
                <w:sz w:val="18"/>
              </w:rPr>
              <w:t>Fill in when you begin and finish</w:t>
            </w:r>
          </w:p>
          <w:p w:rsidR="007C10D4" w:rsidRDefault="00000000">
            <w:pPr>
              <w:spacing w:before="20" w:after="20"/>
            </w:pPr>
            <w:r>
              <w:rPr>
                <w:rFonts w:ascii="Arial" w:hAnsi="Arial"/>
                <w:b/>
                <w:color w:val="1F3864"/>
                <w:sz w:val="18"/>
              </w:rPr>
              <w:t xml:space="preserve">  Duration: </w:t>
            </w:r>
            <w:r>
              <w:rPr>
                <w:rFonts w:ascii="Arial" w:hAnsi="Arial"/>
                <w:color w:val="555555"/>
                <w:sz w:val="18"/>
              </w:rPr>
              <w:t>Actual time spent (days or hours)</w:t>
            </w:r>
          </w:p>
          <w:p w:rsidR="0006699E" w:rsidRDefault="00000000">
            <w:pPr>
              <w:spacing w:before="20" w:after="20"/>
              <w:rPr>
                <w:rFonts w:ascii="Arial" w:hAnsi="Arial"/>
                <w:color w:val="555555"/>
                <w:sz w:val="18"/>
              </w:rPr>
            </w:pPr>
            <w:r>
              <w:rPr>
                <w:rFonts w:ascii="Arial" w:hAnsi="Arial"/>
                <w:b/>
                <w:color w:val="1F3864"/>
                <w:sz w:val="18"/>
              </w:rPr>
              <w:t xml:space="preserve">  Success Criteria: </w:t>
            </w:r>
            <w:r>
              <w:rPr>
                <w:rFonts w:ascii="Arial" w:hAnsi="Arial"/>
                <w:color w:val="555555"/>
                <w:sz w:val="18"/>
              </w:rPr>
              <w:t>Define what done-well looks like BEFORE you start</w:t>
            </w:r>
          </w:p>
          <w:p w:rsidR="0006699E" w:rsidRPr="0006699E" w:rsidRDefault="0006699E">
            <w:pPr>
              <w:spacing w:before="20" w:after="20"/>
              <w:rPr>
                <w:rFonts w:ascii="Arial" w:hAnsi="Arial"/>
                <w:color w:val="555555"/>
                <w:sz w:val="18"/>
              </w:rPr>
            </w:pPr>
            <w:r>
              <w:rPr>
                <w:rFonts w:ascii="Arial" w:hAnsi="Arial" w:cs="Arial"/>
                <w:sz w:val="18"/>
                <w:szCs w:val="18"/>
              </w:rPr>
              <w:t xml:space="preserve">  </w:t>
            </w:r>
            <w:r w:rsidRPr="0006699E">
              <w:rPr>
                <w:rFonts w:ascii="Arial" w:hAnsi="Arial" w:cs="Arial"/>
                <w:b/>
                <w:bCs/>
                <w:color w:val="1F497D" w:themeColor="text2"/>
                <w:sz w:val="18"/>
                <w:szCs w:val="18"/>
              </w:rPr>
              <w:t>Pareto Value-Effort Score</w:t>
            </w:r>
            <w:r w:rsidRPr="0006699E">
              <w:rPr>
                <w:rFonts w:ascii="Arial" w:hAnsi="Arial" w:cs="Arial"/>
                <w:color w:val="7F7F7F" w:themeColor="text1" w:themeTint="80"/>
                <w:sz w:val="18"/>
                <w:szCs w:val="18"/>
              </w:rPr>
              <w:t xml:space="preserve">: </w:t>
            </w:r>
            <w:r w:rsidRPr="0006699E">
              <w:rPr>
                <w:rFonts w:ascii="Arial" w:hAnsi="Arial" w:cs="Arial"/>
                <w:color w:val="595959" w:themeColor="text1" w:themeTint="A6"/>
                <w:sz w:val="18"/>
                <w:szCs w:val="18"/>
              </w:rPr>
              <w:t>Customer Value-to-Effort Estimates Ratio for Pareto ranking work priorities</w:t>
            </w:r>
          </w:p>
          <w:p w:rsidR="007C10D4" w:rsidRDefault="00000000">
            <w:pPr>
              <w:spacing w:before="20" w:after="20"/>
            </w:pPr>
            <w:r>
              <w:rPr>
                <w:rFonts w:ascii="Arial" w:hAnsi="Arial"/>
                <w:b/>
                <w:color w:val="1F3864"/>
                <w:sz w:val="18"/>
              </w:rPr>
              <w:t xml:space="preserve">  Validation Approach: </w:t>
            </w:r>
            <w:r>
              <w:rPr>
                <w:rFonts w:ascii="Arial" w:hAnsi="Arial"/>
                <w:color w:val="555555"/>
                <w:sz w:val="18"/>
              </w:rPr>
              <w:t>Published benchmark or method to verify your results</w:t>
            </w:r>
          </w:p>
          <w:p w:rsidR="007C10D4" w:rsidRDefault="00000000">
            <w:pPr>
              <w:spacing w:before="20" w:after="20"/>
            </w:pPr>
            <w:r>
              <w:rPr>
                <w:rFonts w:ascii="Arial" w:hAnsi="Arial"/>
                <w:b/>
                <w:color w:val="1F3864"/>
                <w:sz w:val="18"/>
              </w:rPr>
              <w:t xml:space="preserve">  Key Tools Used: </w:t>
            </w:r>
            <w:r>
              <w:rPr>
                <w:rFonts w:ascii="Arial" w:hAnsi="Arial"/>
                <w:color w:val="555555"/>
                <w:sz w:val="18"/>
              </w:rPr>
              <w:t>Main libraries, models, or platforms</w:t>
            </w:r>
          </w:p>
          <w:p w:rsidR="007C10D4" w:rsidRDefault="00000000">
            <w:pPr>
              <w:spacing w:before="20" w:after="20"/>
            </w:pPr>
            <w:r>
              <w:rPr>
                <w:rFonts w:ascii="Arial" w:hAnsi="Arial"/>
                <w:b/>
                <w:color w:val="1F3864"/>
                <w:sz w:val="18"/>
              </w:rPr>
              <w:t xml:space="preserve">  GitHub Repo: </w:t>
            </w:r>
            <w:r>
              <w:rPr>
                <w:rFonts w:ascii="Arial" w:hAnsi="Arial"/>
                <w:color w:val="555555"/>
                <w:sz w:val="18"/>
              </w:rPr>
              <w:t>Paste the link once the repo is created</w:t>
            </w:r>
          </w:p>
          <w:p w:rsidR="007C10D4" w:rsidRDefault="00000000">
            <w:pPr>
              <w:spacing w:before="20" w:after="20"/>
            </w:pPr>
            <w:r>
              <w:rPr>
                <w:rFonts w:ascii="Arial" w:hAnsi="Arial"/>
                <w:b/>
                <w:color w:val="1F3864"/>
                <w:sz w:val="18"/>
              </w:rPr>
              <w:t xml:space="preserve">  Learnings &amp; Takeaways: </w:t>
            </w:r>
            <w:r>
              <w:rPr>
                <w:rFonts w:ascii="Arial" w:hAnsi="Arial"/>
                <w:color w:val="555555"/>
                <w:sz w:val="18"/>
              </w:rPr>
              <w:t>What did you learn? What would you do differently?</w:t>
            </w:r>
          </w:p>
          <w:p w:rsidR="007C10D4" w:rsidRDefault="00000000">
            <w:pPr>
              <w:spacing w:before="20" w:after="20"/>
            </w:pPr>
            <w:r>
              <w:rPr>
                <w:rFonts w:ascii="Arial" w:hAnsi="Arial"/>
                <w:b/>
                <w:color w:val="1F3864"/>
                <w:sz w:val="18"/>
              </w:rPr>
              <w:t xml:space="preserve">  Hiring-Manager Talking Points: </w:t>
            </w:r>
            <w:r>
              <w:rPr>
                <w:rFonts w:ascii="Arial" w:hAnsi="Arial"/>
                <w:color w:val="555555"/>
                <w:sz w:val="18"/>
              </w:rPr>
              <w:t>2-3 bullets you would use in an interview</w:t>
            </w:r>
          </w:p>
          <w:p w:rsidR="007C10D4" w:rsidRDefault="007C10D4">
            <w:pPr>
              <w:spacing w:before="40" w:after="0"/>
            </w:pPr>
          </w:p>
        </w:tc>
      </w:tr>
    </w:tbl>
    <w:p w:rsidR="007C10D4" w:rsidRDefault="007C10D4"/>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t xml:space="preserve">  #01  </w:t>
            </w:r>
            <w:r>
              <w:rPr>
                <w:rFonts w:ascii="Arial" w:hAnsi="Arial"/>
                <w:b/>
                <w:color w:val="1F3864"/>
                <w:sz w:val="24"/>
              </w:rPr>
              <w:t>Solubility Tag Recommender</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Input a protein sequence and expression system → outputs a ranked list of solubility/affinity tags (N- and C-terminal, with linker options) including tradeoffs for solubility, detection, cleavage compatibility, and functional impact.</w:t>
            </w:r>
          </w:p>
          <w:p w:rsidR="00277ECB" w:rsidRDefault="00000000">
            <w:pPr>
              <w:spacing w:after="120"/>
            </w:pPr>
            <w:r>
              <w:rPr>
                <w:rFonts w:ascii="Arial" w:hAnsi="Arial"/>
                <w:b/>
                <w:color w:val="555555"/>
                <w:sz w:val="18"/>
              </w:rPr>
              <w:t xml:space="preserve">  Key Tools:  </w:t>
            </w:r>
            <w:r>
              <w:rPr>
                <w:rFonts w:ascii="Arial" w:hAnsi="Arial"/>
                <w:color w:val="555555"/>
                <w:sz w:val="18"/>
              </w:rPr>
              <w:t>Claude API, Python, Biopython, curated tag performance database (GST, MBP, SUMO, Thioredoxin, His, SBP, GFP), Streamlit</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Evaluate recommendations against the benchmark from Esposito et al. 2009 (Expert Opinion on Drug Discovery) and Costa et al. 2014 (Frontiers in Microbiology), which catalog empirical solubility outcomes for 8+ tag types across E. coli expression contexts; target &gt;= 80% alignment between tool top-3 suggestions and literature-</w:t>
            </w:r>
            <w:r>
              <w:rPr>
                <w:rFonts w:ascii="Arial" w:hAnsi="Arial"/>
                <w:color w:val="333333"/>
                <w:sz w:val="18"/>
              </w:rPr>
              <w:lastRenderedPageBreak/>
              <w:t>preferred tags for the given expression host.</w:t>
            </w:r>
          </w:p>
          <w:p w:rsidR="00277ECB" w:rsidRDefault="00000000">
            <w:pPr>
              <w:spacing w:before="20" w:after="20"/>
            </w:pPr>
            <w:r>
              <w:rPr>
                <w:rFonts w:ascii="Arial" w:hAnsi="Arial"/>
                <w:b/>
                <w:color w:val="8B4513"/>
                <w:sz w:val="18"/>
              </w:rPr>
              <w:t xml:space="preserve">  2. </w:t>
            </w:r>
            <w:r>
              <w:rPr>
                <w:rFonts w:ascii="Arial" w:hAnsi="Arial"/>
                <w:color w:val="333333"/>
                <w:sz w:val="18"/>
              </w:rPr>
              <w:t>Test with 10 proteins of known solubility issues (e.g., from the TargetDB / NYSGRC expression outcome database); validate that the tool flags correct tag options for at least 8/10 cases and correctly ranks MBP or SUMO above His for aggregation-prone targets.</w:t>
            </w:r>
          </w:p>
          <w:p w:rsidR="00277ECB" w:rsidRDefault="00000000">
            <w:pPr>
              <w:spacing w:before="20" w:after="20"/>
            </w:pPr>
            <w:r>
              <w:rPr>
                <w:rFonts w:ascii="Arial" w:hAnsi="Arial"/>
                <w:b/>
                <w:color w:val="8B4513"/>
                <w:sz w:val="18"/>
              </w:rPr>
              <w:t xml:space="preserve">  3. </w:t>
            </w:r>
            <w:r>
              <w:rPr>
                <w:rFonts w:ascii="Arial" w:hAnsi="Arial"/>
                <w:color w:val="333333"/>
                <w:sz w:val="18"/>
              </w:rPr>
              <w:t>Benchmark metric: Top-3 tag overlap rate vs. published experimental outcomes; precision/recall of functional-impact flags (e.g., N-terminal tags disrupting signal peptides or TM helices); user-rated recommendation clarity (target &gt;= 4/5).</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t xml:space="preserve">  #02  </w:t>
            </w:r>
            <w:r>
              <w:rPr>
                <w:rFonts w:ascii="Arial" w:hAnsi="Arial"/>
                <w:b/>
                <w:color w:val="1F3864"/>
                <w:sz w:val="24"/>
              </w:rPr>
              <w:t>Protein Fusion Linker Designer</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Input two protein domains or fusion partners → outputs ranked linker sequences (rigid, flexible, cleavable) optimized for flexibility, solubility, length, and function preservation, with ESMFold-predicted structural context and per-option tradeoff explanations.</w:t>
            </w:r>
          </w:p>
          <w:p w:rsidR="00277ECB" w:rsidRDefault="00000000">
            <w:pPr>
              <w:spacing w:after="120"/>
            </w:pPr>
            <w:r>
              <w:rPr>
                <w:rFonts w:ascii="Arial" w:hAnsi="Arial"/>
                <w:b/>
                <w:color w:val="555555"/>
                <w:sz w:val="18"/>
              </w:rPr>
              <w:t xml:space="preserve">  Key Tools:  </w:t>
            </w:r>
            <w:r>
              <w:rPr>
                <w:rFonts w:ascii="Arial" w:hAnsi="Arial"/>
                <w:color w:val="555555"/>
                <w:sz w:val="18"/>
              </w:rPr>
              <w:t>Claude API, Python, ESMFold, ColabFold, Biopython, linker databases (IDBID, published fusion literature), RDKit</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Validate against the linker performance dataset from Arai et al. 2004 (Protein Engineering, Design and Selection): confirm the tool correctly ranks (G4S)n-type flexible linkers above rigid alpha-helical linkers for fusions where interdomain movement is required, and vice versa for rigid scaffolds requiring fixed geometry.</w:t>
            </w:r>
          </w:p>
          <w:p w:rsidR="00277ECB" w:rsidRDefault="00000000">
            <w:pPr>
              <w:spacing w:before="20" w:after="20"/>
            </w:pPr>
            <w:r>
              <w:rPr>
                <w:rFonts w:ascii="Arial" w:hAnsi="Arial"/>
                <w:b/>
                <w:color w:val="8B4513"/>
                <w:sz w:val="18"/>
              </w:rPr>
              <w:t xml:space="preserve">  2. </w:t>
            </w:r>
            <w:r>
              <w:rPr>
                <w:rFonts w:ascii="Arial" w:hAnsi="Arial"/>
                <w:color w:val="333333"/>
                <w:sz w:val="18"/>
              </w:rPr>
              <w:t>For 5 published bi-functional fusion proteins with known optimal linker sequences (e.g., CAR-T co-stimulatory domain fusions, antibody-enzyme fusions), assess whether ESMFold-predicted structures for tool-recommended linkers show pLDDT &gt;= 70 in the linker region and lower steric clash scores vs. naive (G)n linkers.</w:t>
            </w:r>
          </w:p>
          <w:p w:rsidR="00277ECB" w:rsidRDefault="00000000">
            <w:pPr>
              <w:spacing w:before="20" w:after="20"/>
            </w:pPr>
            <w:r>
              <w:rPr>
                <w:rFonts w:ascii="Arial" w:hAnsi="Arial"/>
                <w:b/>
                <w:color w:val="8B4513"/>
                <w:sz w:val="18"/>
              </w:rPr>
              <w:lastRenderedPageBreak/>
              <w:t xml:space="preserve">  3. </w:t>
            </w:r>
            <w:r>
              <w:rPr>
                <w:rFonts w:ascii="Arial" w:hAnsi="Arial"/>
                <w:color w:val="333333"/>
                <w:sz w:val="18"/>
              </w:rPr>
              <w:t>Benchmark metric: Rank correlation between predicted structural quality (pLDDT) and published fusion activity for benchmark linker variant sets; fraction of cases where tool top recommendation matches published optimal linker type; linker Tm and solubility predictions vs. experimental values where available.</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t xml:space="preserve">  #03  </w:t>
            </w:r>
            <w:r>
              <w:rPr>
                <w:rFonts w:ascii="Arial" w:hAnsi="Arial"/>
                <w:b/>
                <w:color w:val="1F3864"/>
                <w:sz w:val="24"/>
              </w:rPr>
              <w:t>Target + Modality Fit Recommender</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Input a biological target and disease context → outputs a ranked list of therapeutic modalities (small molecule, mAb, ADC, siRNA, ASO, gene therapy, cell therapy, etc.) with mechanistic rationale, known constraints, competitive landscape overview, and a structured risk profile for each.</w:t>
            </w:r>
          </w:p>
          <w:p w:rsidR="00277ECB" w:rsidRDefault="00000000">
            <w:pPr>
              <w:spacing w:after="120"/>
            </w:pPr>
            <w:r>
              <w:rPr>
                <w:rFonts w:ascii="Arial" w:hAnsi="Arial"/>
                <w:b/>
                <w:color w:val="555555"/>
                <w:sz w:val="18"/>
              </w:rPr>
              <w:t xml:space="preserve">  Key Tools:  </w:t>
            </w:r>
            <w:r>
              <w:rPr>
                <w:rFonts w:ascii="Arial" w:hAnsi="Arial"/>
                <w:color w:val="555555"/>
                <w:sz w:val="18"/>
              </w:rPr>
              <w:t>Claude API, Python, Streamlit, OpenTargets API, curated modality-target fit rule base, ChEMBL API</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Back-test on 15 approved drug programs from Nat Rev Drug Discov reviews (2020-2024): for each program, provide only the target name to the tool and assess whether the actual approved modality appears in the top-3 recommendations. Target &gt;= 80% top-3 recall across the 15 cases.</w:t>
            </w:r>
          </w:p>
          <w:p w:rsidR="00277ECB" w:rsidRDefault="00000000">
            <w:pPr>
              <w:spacing w:before="20" w:after="20"/>
            </w:pPr>
            <w:r>
              <w:rPr>
                <w:rFonts w:ascii="Arial" w:hAnsi="Arial"/>
                <w:b/>
                <w:color w:val="8B4513"/>
                <w:sz w:val="18"/>
              </w:rPr>
              <w:t xml:space="preserve">  2. </w:t>
            </w:r>
            <w:r>
              <w:rPr>
                <w:rFonts w:ascii="Arial" w:hAnsi="Arial"/>
                <w:color w:val="333333"/>
                <w:sz w:val="18"/>
              </w:rPr>
              <w:t>Test constraint-flagging on 10 historically 'difficult' targets (e.g., KRAS, MYC, p53 transcription factor surface): confirm the tool correctly identifies at least one non-small-molecule modality as preferred and flags the small-molecule challenge in &gt;= 8/10 cases, consistent with published druggability assessments.</w:t>
            </w:r>
          </w:p>
          <w:p w:rsidR="00277ECB" w:rsidRDefault="00000000">
            <w:pPr>
              <w:spacing w:before="20" w:after="20"/>
            </w:pPr>
            <w:r>
              <w:rPr>
                <w:rFonts w:ascii="Arial" w:hAnsi="Arial"/>
                <w:b/>
                <w:color w:val="8B4513"/>
                <w:sz w:val="18"/>
              </w:rPr>
              <w:t xml:space="preserve">  3. </w:t>
            </w:r>
            <w:r>
              <w:rPr>
                <w:rFonts w:ascii="Arial" w:hAnsi="Arial"/>
                <w:color w:val="333333"/>
                <w:sz w:val="18"/>
              </w:rPr>
              <w:t>Benchmark metric: Top-3 modality recall vs. approved drugs; constraint flag accuracy for known difficulty cases; expert reviewer quality score for rationale depth and accuracy (1-5 scale, target &gt;= 4.0 mean).</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lastRenderedPageBreak/>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t xml:space="preserve">  #04  </w:t>
            </w:r>
            <w:r>
              <w:rPr>
                <w:rFonts w:ascii="Arial" w:hAnsi="Arial"/>
                <w:b/>
                <w:color w:val="1F3864"/>
                <w:sz w:val="24"/>
              </w:rPr>
              <w:t>Biomarker Strategy Tradeoff Explorer</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Input a therapeutic target and indication → outputs multiple patient selection / biomarker strategies (companion diagnostic, enrichment, stratification, PD biomarker, safety biomarker) with feasibility scores, translational challenges, regulatory considerations, and a structured tradeoff comparison.</w:t>
            </w:r>
          </w:p>
          <w:p w:rsidR="00277ECB" w:rsidRDefault="00000000">
            <w:pPr>
              <w:spacing w:after="120"/>
            </w:pPr>
            <w:r>
              <w:rPr>
                <w:rFonts w:ascii="Arial" w:hAnsi="Arial"/>
                <w:b/>
                <w:color w:val="555555"/>
                <w:sz w:val="18"/>
              </w:rPr>
              <w:t xml:space="preserve">  Key Tools:  </w:t>
            </w:r>
            <w:r>
              <w:rPr>
                <w:rFonts w:ascii="Arial" w:hAnsi="Arial"/>
                <w:color w:val="555555"/>
                <w:sz w:val="18"/>
              </w:rPr>
              <w:t>Claude API, Python, Streamlit, ClinicalTrials.gov API, FDA label database, biomarker literature knowledge base</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Back-test on 10 approved immuno-oncology and targeted therapy programs with companion diagnostics (e.g., pembrolizumab/PD-L1 IHC, erlotinib/EGFR mutation, imatinib/BCR-ABL) using FDA drug labels as ground truth; assess whether the tool's top recommended strategy type matches the actual approved approach in &gt;= 7/10 cases.</w:t>
            </w:r>
          </w:p>
          <w:p w:rsidR="00277ECB" w:rsidRDefault="00000000">
            <w:pPr>
              <w:spacing w:before="20" w:after="20"/>
            </w:pPr>
            <w:r>
              <w:rPr>
                <w:rFonts w:ascii="Arial" w:hAnsi="Arial"/>
                <w:b/>
                <w:color w:val="8B4513"/>
                <w:sz w:val="18"/>
              </w:rPr>
              <w:t xml:space="preserve">  2. </w:t>
            </w:r>
            <w:r>
              <w:rPr>
                <w:rFonts w:ascii="Arial" w:hAnsi="Arial"/>
                <w:color w:val="333333"/>
                <w:sz w:val="18"/>
              </w:rPr>
              <w:t>For 5 programs where biomarker strategy contributed to trial failure (per published postmortems or FDA advisory committee transcripts), assess whether the tool's tradeoff analysis flags the specific limitation (e.g., PD biomarker chosen over patient selection, wrong assay type) in &gt;= 4/5 cases.</w:t>
            </w:r>
          </w:p>
          <w:p w:rsidR="00277ECB" w:rsidRDefault="00000000">
            <w:pPr>
              <w:spacing w:before="20" w:after="20"/>
            </w:pPr>
            <w:r>
              <w:rPr>
                <w:rFonts w:ascii="Arial" w:hAnsi="Arial"/>
                <w:b/>
                <w:color w:val="8B4513"/>
                <w:sz w:val="18"/>
              </w:rPr>
              <w:t xml:space="preserve">  3. </w:t>
            </w:r>
            <w:r>
              <w:rPr>
                <w:rFonts w:ascii="Arial" w:hAnsi="Arial"/>
                <w:color w:val="333333"/>
                <w:sz w:val="18"/>
              </w:rPr>
              <w:t>Benchmark metric: Top-1 strategy type match vs. approved / successful programs; false-negative rate for flagging known translational limitations; medical expert reviewer quality rating (target &gt;= 4/5).</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t xml:space="preserve">  #05  </w:t>
            </w:r>
            <w:r>
              <w:rPr>
                <w:rFonts w:ascii="Arial" w:hAnsi="Arial"/>
                <w:b/>
                <w:color w:val="1F3864"/>
                <w:sz w:val="24"/>
              </w:rPr>
              <w:t>Screening Library Design Tool</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Input a screening campaign goal (target class, assay type, throughput, and hit rate expectations) → outputs an optimized compound library design recommendation including diversity/coverage balance, pharmacophore cluster strategy, expected hit rate range, and compound filtering criteria.</w:t>
            </w:r>
          </w:p>
          <w:p w:rsidR="00277ECB" w:rsidRDefault="00000000">
            <w:pPr>
              <w:spacing w:after="120"/>
            </w:pPr>
            <w:r>
              <w:rPr>
                <w:rFonts w:ascii="Arial" w:hAnsi="Arial"/>
                <w:b/>
                <w:color w:val="555555"/>
                <w:sz w:val="18"/>
              </w:rPr>
              <w:t xml:space="preserve">  Key Tools:  </w:t>
            </w:r>
            <w:r>
              <w:rPr>
                <w:rFonts w:ascii="Arial" w:hAnsi="Arial"/>
                <w:color w:val="555555"/>
                <w:sz w:val="18"/>
              </w:rPr>
              <w:t>RDKit, Python, Claude API, ChEMBL API, scikit-learn, UMAP / PCA for chemical space visualization, pandas</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Compare chemical diversity (Tanimoto-based internal pairwise similarity distribution) of tool-generated library designs against published benchmark fragment libraries from Sauer &amp; Schwarz 2003 (J Chem Inf Comput Sci) and the AstraZeneca fragment library; target mean pairwise Tanimoto &lt; 0.35 (high diversity standard).</w:t>
            </w:r>
          </w:p>
          <w:p w:rsidR="00277ECB" w:rsidRDefault="00000000">
            <w:pPr>
              <w:spacing w:before="20" w:after="20"/>
            </w:pPr>
            <w:r>
              <w:rPr>
                <w:rFonts w:ascii="Arial" w:hAnsi="Arial"/>
                <w:b/>
                <w:color w:val="8B4513"/>
                <w:sz w:val="18"/>
              </w:rPr>
              <w:t xml:space="preserve">  2. </w:t>
            </w:r>
            <w:r>
              <w:rPr>
                <w:rFonts w:ascii="Arial" w:hAnsi="Arial"/>
                <w:color w:val="333333"/>
                <w:sz w:val="18"/>
              </w:rPr>
              <w:t>Back-test hit rate predictions on 3 public HTS campaigns from PubChem BioAssay where actual hit rates are reported; assess whether relative hit rate predictions (higher vs. lower) correctly rank the library design options in &gt;= 2/3 cases.</w:t>
            </w:r>
          </w:p>
          <w:p w:rsidR="00277ECB" w:rsidRDefault="00000000">
            <w:pPr>
              <w:spacing w:before="20" w:after="20"/>
            </w:pPr>
            <w:r>
              <w:rPr>
                <w:rFonts w:ascii="Arial" w:hAnsi="Arial"/>
                <w:b/>
                <w:color w:val="8B4513"/>
                <w:sz w:val="18"/>
              </w:rPr>
              <w:t xml:space="preserve">  3. </w:t>
            </w:r>
            <w:r>
              <w:rPr>
                <w:rFonts w:ascii="Arial" w:hAnsi="Arial"/>
                <w:color w:val="333333"/>
                <w:sz w:val="18"/>
              </w:rPr>
              <w:t>Benchmark metric: Internal library diversity (mean Tanimoto, target &lt; 0.35); scaffold cluster coverage vs. known actives for the given target class (ChEMBL); predicted vs. actual hit rate rank correlation across test campaigns.</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lastRenderedPageBreak/>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t xml:space="preserve">  #06  </w:t>
            </w:r>
            <w:r>
              <w:rPr>
                <w:rFonts w:ascii="Arial" w:hAnsi="Arial"/>
                <w:b/>
                <w:color w:val="1F3864"/>
                <w:sz w:val="24"/>
              </w:rPr>
              <w:t>Oligonucleotide (siRNA/ASO) Strategy Assistant</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Input an mRNA transcript and gene-knockdown or splice-switching goal → recommends modality (siRNA vs. ASO vs. miRNA mimic), target region selection with rationale, candidate sequences, backbone/modification strategy, and known off-target risk summary.</w:t>
            </w:r>
          </w:p>
          <w:p w:rsidR="00277ECB" w:rsidRDefault="00000000">
            <w:pPr>
              <w:spacing w:after="120"/>
            </w:pPr>
            <w:r>
              <w:rPr>
                <w:rFonts w:ascii="Arial" w:hAnsi="Arial"/>
                <w:b/>
                <w:color w:val="555555"/>
                <w:sz w:val="18"/>
              </w:rPr>
              <w:t xml:space="preserve">  Key Tools:  </w:t>
            </w:r>
            <w:r>
              <w:rPr>
                <w:rFonts w:ascii="Arial" w:hAnsi="Arial"/>
                <w:color w:val="555555"/>
                <w:sz w:val="18"/>
              </w:rPr>
              <w:t>Claude API, Python, Biopython, siDirect 2.0, RNAfold / ViennaRNA, BLAST (off-target screen), published modification guide databases</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Evaluate siRNA recommendations against design rules from Reynolds et al. 2004 (Nature Biotechnology): confirm &gt;= 80% of recommended sequences satisfy all three published filters — thermodynamic asymmetry, seed-region stability, and position-10 accessibility — on a test set of 20 target transcripts.</w:t>
            </w:r>
          </w:p>
          <w:p w:rsidR="00277ECB" w:rsidRDefault="00000000">
            <w:pPr>
              <w:spacing w:before="20" w:after="20"/>
            </w:pPr>
            <w:r>
              <w:rPr>
                <w:rFonts w:ascii="Arial" w:hAnsi="Arial"/>
                <w:b/>
                <w:color w:val="8B4513"/>
                <w:sz w:val="18"/>
              </w:rPr>
              <w:t xml:space="preserve">  2. </w:t>
            </w:r>
            <w:r>
              <w:rPr>
                <w:rFonts w:ascii="Arial" w:hAnsi="Arial"/>
                <w:color w:val="333333"/>
                <w:sz w:val="18"/>
              </w:rPr>
              <w:t>Test ASO splice-switching recommendations on 5 established therapeutic targets (e.g., SMN2 exon 7 inclusion for SMA, DMD exon 51 skipping, PCSK9 knockdown): compare recommended target regions against published efficacious coordinates from clinical-stage programs and assess nucleotide-level overlap.</w:t>
            </w:r>
          </w:p>
          <w:p w:rsidR="00277ECB" w:rsidRDefault="00000000">
            <w:pPr>
              <w:spacing w:before="20" w:after="20"/>
            </w:pPr>
            <w:r>
              <w:rPr>
                <w:rFonts w:ascii="Arial" w:hAnsi="Arial"/>
                <w:b/>
                <w:color w:val="8B4513"/>
                <w:sz w:val="18"/>
              </w:rPr>
              <w:t xml:space="preserve">  3. </w:t>
            </w:r>
            <w:r>
              <w:rPr>
                <w:rFonts w:ascii="Arial" w:hAnsi="Arial"/>
                <w:color w:val="333333"/>
                <w:sz w:val="18"/>
              </w:rPr>
              <w:t>Benchmark metric: Fraction of siRNA recommendations passing Reynolds 2004 criteria; ASO target-region overlap with published efficacious windows (bp-level); off-target gene count at seed-region level via BLAST (target &lt; 5 high-confidence transcriptome hits per candidate).</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t xml:space="preserve">  #07  </w:t>
            </w:r>
            <w:r>
              <w:rPr>
                <w:rFonts w:ascii="Arial" w:hAnsi="Arial"/>
                <w:b/>
                <w:color w:val="1F3864"/>
                <w:sz w:val="24"/>
              </w:rPr>
              <w:t>Construct Design Optimizer</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Input a protein of interest and expression/functional goal → outputs ranked construct designs exploring tag placement, truncation boundaries (disorder-informed), linker sequences, and expression host compatibility, with tradeoff explanations for each option.</w:t>
            </w:r>
          </w:p>
          <w:p w:rsidR="00277ECB" w:rsidRDefault="00000000">
            <w:pPr>
              <w:spacing w:after="120"/>
            </w:pPr>
            <w:r>
              <w:rPr>
                <w:rFonts w:ascii="Arial" w:hAnsi="Arial"/>
                <w:b/>
                <w:color w:val="555555"/>
                <w:sz w:val="18"/>
              </w:rPr>
              <w:t xml:space="preserve">  Key Tools:  </w:t>
            </w:r>
            <w:r>
              <w:rPr>
                <w:rFonts w:ascii="Arial" w:hAnsi="Arial"/>
                <w:color w:val="555555"/>
                <w:sz w:val="18"/>
              </w:rPr>
              <w:t>Claude API, Python, Biopython, IUPred3 (disorder prediction), ESMFold, ProteinMPNN, curated expression outcome database (TargetTrack / NYSGRC)</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Back-test on 20 proteins from the NYSGRC TargetTrack database with known expression outcomes across multiple construct variants; assess whether the tool's top-ranked design falls within the experimentally validated boundary range (within +/- 10 aa) in &gt;= 75% of cases.</w:t>
            </w:r>
          </w:p>
          <w:p w:rsidR="00277ECB" w:rsidRDefault="00000000">
            <w:pPr>
              <w:spacing w:before="20" w:after="20"/>
            </w:pPr>
            <w:r>
              <w:rPr>
                <w:rFonts w:ascii="Arial" w:hAnsi="Arial"/>
                <w:b/>
                <w:color w:val="8B4513"/>
                <w:sz w:val="18"/>
              </w:rPr>
              <w:t xml:space="preserve">  2. </w:t>
            </w:r>
            <w:r>
              <w:rPr>
                <w:rFonts w:ascii="Arial" w:hAnsi="Arial"/>
                <w:color w:val="333333"/>
                <w:sz w:val="18"/>
              </w:rPr>
              <w:t>Validate disorder-based truncation predictions for 10 representative PDB entries: confirm tool-recommended boundaries correctly exclude disordered N/C-terminal residues (IUPred3 score &gt; 0.5) as done in the deposited crystal structures, achieving &gt;= 80% boundary accuracy.</w:t>
            </w:r>
          </w:p>
          <w:p w:rsidR="00277ECB" w:rsidRDefault="00000000">
            <w:pPr>
              <w:spacing w:before="20" w:after="20"/>
            </w:pPr>
            <w:r>
              <w:rPr>
                <w:rFonts w:ascii="Arial" w:hAnsi="Arial"/>
                <w:b/>
                <w:color w:val="8B4513"/>
                <w:sz w:val="18"/>
              </w:rPr>
              <w:t xml:space="preserve">  3. </w:t>
            </w:r>
            <w:r>
              <w:rPr>
                <w:rFonts w:ascii="Arial" w:hAnsi="Arial"/>
                <w:color w:val="333333"/>
                <w:sz w:val="18"/>
              </w:rPr>
              <w:t>Benchmark metric: Fraction of recommended constructs within +/- 10 aa of published successful boundaries; correct tag-type recommendation rate vs. published expression outcomes; solubility prediction alignment with available experimental data.</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lastRenderedPageBreak/>
              <w:t xml:space="preserve">  #08  </w:t>
            </w:r>
            <w:r>
              <w:rPr>
                <w:rFonts w:ascii="Arial" w:hAnsi="Arial"/>
                <w:b/>
                <w:color w:val="1F3864"/>
                <w:sz w:val="24"/>
              </w:rPr>
              <w:t>Genome Editing Strategy Recommender</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Input a gene/target locus and desired edit type → outputs a ranked comparison of editing modalities (Cas9, base editor CBE/ABE, prime editor, epigenome editor) with compatible nucleases, guide RNA suggestions, delivery considerations, and an off-target risk summary.</w:t>
            </w:r>
          </w:p>
          <w:p w:rsidR="00277ECB" w:rsidRDefault="00000000">
            <w:pPr>
              <w:spacing w:after="120"/>
            </w:pPr>
            <w:r>
              <w:rPr>
                <w:rFonts w:ascii="Arial" w:hAnsi="Arial"/>
                <w:b/>
                <w:color w:val="555555"/>
                <w:sz w:val="18"/>
              </w:rPr>
              <w:t xml:space="preserve">  Key Tools:  </w:t>
            </w:r>
            <w:r>
              <w:rPr>
                <w:rFonts w:ascii="Arial" w:hAnsi="Arial"/>
                <w:color w:val="555555"/>
                <w:sz w:val="18"/>
              </w:rPr>
              <w:t>Claude API, Python, CRISPOR API, Cas-OFFinder, ClinVar / gnomAD, published modality safety benchmarks, Benchling-compatible output</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Back-test on 10 published therapeutic editing programs (e.g., BCL11A enhancer disruption for sickle cell with Cas9, ABE for T-to-C correction at therapeutic loci): assess whether the tool recommends the same modality as the published approach in &gt;= 8/10 cases given identical input constraints (edit type, locus, delivery context).</w:t>
            </w:r>
          </w:p>
          <w:p w:rsidR="00277ECB" w:rsidRDefault="00000000">
            <w:pPr>
              <w:spacing w:before="20" w:after="20"/>
            </w:pPr>
            <w:r>
              <w:rPr>
                <w:rFonts w:ascii="Arial" w:hAnsi="Arial"/>
                <w:b/>
                <w:color w:val="8B4513"/>
                <w:sz w:val="18"/>
              </w:rPr>
              <w:t xml:space="preserve">  2. </w:t>
            </w:r>
            <w:r>
              <w:rPr>
                <w:rFonts w:ascii="Arial" w:hAnsi="Arial"/>
                <w:color w:val="333333"/>
                <w:sz w:val="18"/>
              </w:rPr>
              <w:t>Validate guide RNA scoring: for 5 target loci with published high- and low-efficiency guide RNAs from Doench et al. 2016 (Nature Biotechnology), confirm tool recommendations correlate with published efficiency scores (Spearman rho &gt;= 0.70).</w:t>
            </w:r>
          </w:p>
          <w:p w:rsidR="00277ECB" w:rsidRDefault="00000000">
            <w:pPr>
              <w:spacing w:before="20" w:after="20"/>
            </w:pPr>
            <w:r>
              <w:rPr>
                <w:rFonts w:ascii="Arial" w:hAnsi="Arial"/>
                <w:b/>
                <w:color w:val="8B4513"/>
                <w:sz w:val="18"/>
              </w:rPr>
              <w:t xml:space="preserve">  3. </w:t>
            </w:r>
            <w:r>
              <w:rPr>
                <w:rFonts w:ascii="Arial" w:hAnsi="Arial"/>
                <w:color w:val="333333"/>
                <w:sz w:val="18"/>
              </w:rPr>
              <w:t>Benchmark metric: Modality match rate vs. published therapeutic programs; guide RNA efficiency rank correlation vs. Doench 2016 scores; off-target risk rank alignment with CHANGE-seq experimental data for held-out test guides.</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277ECB">
        <w:trPr>
          <w:jc w:val="center"/>
        </w:trPr>
        <w:tc>
          <w:tcPr>
            <w:tcW w:w="9360" w:type="dxa"/>
            <w:tcBorders>
              <w:top w:val="single" w:sz="8" w:space="0" w:color="7B241C"/>
              <w:left w:val="single" w:sz="8" w:space="0" w:color="7B241C"/>
              <w:bottom w:val="single" w:sz="8" w:space="0" w:color="7B241C"/>
              <w:right w:val="single" w:sz="8" w:space="0" w:color="7B241C"/>
            </w:tcBorders>
          </w:tcPr>
          <w:p w:rsidR="00277ECB" w:rsidRDefault="00000000">
            <w:pPr>
              <w:spacing w:before="140" w:after="40"/>
            </w:pPr>
            <w:r>
              <w:rPr>
                <w:rFonts w:ascii="Arial" w:hAnsi="Arial"/>
                <w:b/>
                <w:color w:val="C9A84C"/>
              </w:rPr>
              <w:t xml:space="preserve">  #09  </w:t>
            </w:r>
            <w:r>
              <w:rPr>
                <w:rFonts w:ascii="Arial" w:hAnsi="Arial"/>
                <w:b/>
                <w:color w:val="1F3864"/>
                <w:sz w:val="24"/>
              </w:rPr>
              <w:t>Cloning Strategy Recommender</w:t>
            </w:r>
          </w:p>
          <w:p w:rsidR="00277ECB" w:rsidRDefault="00000000">
            <w:pPr>
              <w:spacing w:after="100"/>
            </w:pPr>
            <w:r>
              <w:rPr>
                <w:rFonts w:ascii="Arial" w:hAnsi="Arial"/>
                <w:i/>
                <w:color w:val="7B241C"/>
                <w:sz w:val="18"/>
              </w:rPr>
              <w:t xml:space="preserve">  AI Drug Discovery Tools &amp; Design Assistants</w:t>
            </w:r>
          </w:p>
          <w:p w:rsidR="00277ECB" w:rsidRDefault="00000000">
            <w:pPr>
              <w:spacing w:after="100"/>
            </w:pPr>
            <w:r>
              <w:rPr>
                <w:rFonts w:ascii="Arial" w:hAnsi="Arial"/>
                <w:color w:val="333333"/>
                <w:sz w:val="19"/>
              </w:rPr>
              <w:t xml:space="preserve">Input a desired final plasmid construct (with optional insert sequence and backbone) → outputs ranked </w:t>
            </w:r>
            <w:r>
              <w:rPr>
                <w:rFonts w:ascii="Arial" w:hAnsi="Arial"/>
                <w:color w:val="333333"/>
                <w:sz w:val="19"/>
              </w:rPr>
              <w:lastRenderedPageBreak/>
              <w:t>cloning methods (Gibson, Golden Gate, restriction/ligation, TOPO, recombination) with primer designs, potential failure modes, and design constraints for the recommended approach.</w:t>
            </w:r>
          </w:p>
          <w:p w:rsidR="00277ECB" w:rsidRDefault="00000000">
            <w:pPr>
              <w:spacing w:after="120"/>
            </w:pPr>
            <w:r>
              <w:rPr>
                <w:rFonts w:ascii="Arial" w:hAnsi="Arial"/>
                <w:b/>
                <w:color w:val="555555"/>
                <w:sz w:val="18"/>
              </w:rPr>
              <w:t xml:space="preserve">  Key Tools:  </w:t>
            </w:r>
            <w:r>
              <w:rPr>
                <w:rFonts w:ascii="Arial" w:hAnsi="Arial"/>
                <w:color w:val="555555"/>
                <w:sz w:val="18"/>
              </w:rPr>
              <w:t>Claude API, Python, Biopython, REBASE (restriction enzyme database), NEBuilder-compatible primer design logic, Snapgene API or equivalent</w:t>
            </w:r>
          </w:p>
          <w:p w:rsidR="00277ECB" w:rsidRDefault="00277ECB">
            <w:pPr>
              <w:pBdr>
                <w:bottom w:val="single" w:sz="4" w:space="1" w:color="DDDDDD"/>
              </w:pBdr>
              <w:spacing w:before="100" w:after="80"/>
            </w:pPr>
          </w:p>
          <w:p w:rsidR="00277ECB"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277ECB"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277ECB"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277ECB"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277ECB" w:rsidRDefault="00000000">
            <w:pPr>
              <w:spacing w:before="20" w:after="20"/>
            </w:pPr>
            <w:r>
              <w:rPr>
                <w:rFonts w:ascii="Arial" w:hAnsi="Arial"/>
                <w:b/>
                <w:color w:val="8B4513"/>
                <w:sz w:val="18"/>
              </w:rPr>
              <w:t xml:space="preserve">  1. </w:t>
            </w:r>
            <w:r>
              <w:rPr>
                <w:rFonts w:ascii="Arial" w:hAnsi="Arial"/>
                <w:color w:val="333333"/>
                <w:sz w:val="18"/>
              </w:rPr>
              <w:t>Evaluate on 15 published cloning scenarios from molecular biology methods papers; assess whether the tool recommends the same method (or ranks it #1) as the published approach in &gt;= 80% of cases, using fragment count, directional cloning requirements, and scarless junction needs as decision factors.</w:t>
            </w:r>
          </w:p>
          <w:p w:rsidR="00277ECB" w:rsidRDefault="00000000">
            <w:pPr>
              <w:spacing w:before="20" w:after="20"/>
            </w:pPr>
            <w:r>
              <w:rPr>
                <w:rFonts w:ascii="Arial" w:hAnsi="Arial"/>
                <w:b/>
                <w:color w:val="8B4513"/>
                <w:sz w:val="18"/>
              </w:rPr>
              <w:t xml:space="preserve">  2. </w:t>
            </w:r>
            <w:r>
              <w:rPr>
                <w:rFonts w:ascii="Arial" w:hAnsi="Arial"/>
                <w:color w:val="333333"/>
                <w:sz w:val="18"/>
              </w:rPr>
              <w:t>Validate Gibson Assembly primer design output for 5 test constructs: confirm overlaps are 15-25 bp, Tm within 55-65 degrees C, and no predicted hairpins &gt; 3 bp — matching NEBuilder design specifications and the Gibson et al. 2009 (Nature Methods) original design criteria.</w:t>
            </w:r>
          </w:p>
          <w:p w:rsidR="00277ECB" w:rsidRDefault="00000000">
            <w:pPr>
              <w:spacing w:before="20" w:after="20"/>
            </w:pPr>
            <w:r>
              <w:rPr>
                <w:rFonts w:ascii="Arial" w:hAnsi="Arial"/>
                <w:b/>
                <w:color w:val="8B4513"/>
                <w:sz w:val="18"/>
              </w:rPr>
              <w:t xml:space="preserve">  3. </w:t>
            </w:r>
            <w:r>
              <w:rPr>
                <w:rFonts w:ascii="Arial" w:hAnsi="Arial"/>
                <w:color w:val="333333"/>
                <w:sz w:val="18"/>
              </w:rPr>
              <w:t>Benchmark metric: Top-1 method match vs. published approaches; primer quality metrics (overlap length, Tm range, hairpin score) vs. manufacturer guidelines; failure mode prediction accuracy — e.g., correctly detecting internal BsaI sites that would block Golden Gate assembly.</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pBdr>
                <w:bottom w:val="single" w:sz="4" w:space="1" w:color="DDDDDD"/>
              </w:pBdr>
              <w:spacing w:before="100" w:after="80"/>
            </w:pPr>
          </w:p>
          <w:p w:rsidR="00277ECB"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000000">
            <w:pPr>
              <w:spacing w:before="20" w:after="20"/>
            </w:pPr>
            <w:r>
              <w:rPr>
                <w:rFonts w:ascii="Arial" w:hAnsi="Arial"/>
                <w:color w:val="CCCCCC"/>
                <w:sz w:val="17"/>
              </w:rPr>
              <w:t xml:space="preserve">  ____________________________________________________________________</w:t>
            </w:r>
          </w:p>
          <w:p w:rsidR="00277ECB" w:rsidRDefault="00277ECB">
            <w:pPr>
              <w:spacing w:before="80" w:after="40"/>
            </w:pPr>
          </w:p>
        </w:tc>
      </w:tr>
    </w:tbl>
    <w:tbl>
      <w:tblPr>
        <w:tblW w:w="0" w:type="auto"/>
        <w:tblLook w:val="04A0" w:firstRow="1" w:lastRow="0" w:firstColumn="1" w:lastColumn="0" w:noHBand="0" w:noVBand="1"/>
      </w:tblPr>
      <w:tblGrid>
        <w:gridCol w:w="9360"/>
      </w:tblGrid>
      <w:tr w:rsidR="00277ECB">
        <w:tc>
          <w:tcPr>
            <w:tcW w:w="9360" w:type="dxa"/>
          </w:tcPr>
          <w:p w:rsidR="00277ECB" w:rsidRDefault="00277ECB"/>
        </w:tc>
      </w:tr>
    </w:tbl>
    <w:p w:rsidR="00277ECB" w:rsidRDefault="00277ECB"/>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7B241C"/>
              <w:left w:val="single" w:sz="8" w:space="0" w:color="7B241C"/>
              <w:bottom w:val="single" w:sz="8" w:space="0" w:color="7B241C"/>
              <w:right w:val="single" w:sz="8" w:space="0" w:color="7B241C"/>
            </w:tcBorders>
          </w:tcPr>
          <w:p w:rsidR="007C10D4" w:rsidRDefault="00000000">
            <w:pPr>
              <w:spacing w:before="140" w:after="40"/>
            </w:pPr>
            <w:r>
              <w:rPr>
                <w:rFonts w:ascii="Arial" w:hAnsi="Arial"/>
                <w:b/>
                <w:color w:val="C9A84C"/>
              </w:rPr>
              <w:t xml:space="preserve">  #10  </w:t>
            </w:r>
            <w:r>
              <w:rPr>
                <w:rFonts w:ascii="Arial" w:hAnsi="Arial"/>
                <w:b/>
                <w:color w:val="1F3864"/>
                <w:sz w:val="24"/>
              </w:rPr>
              <w:t>In Silico vs. Experimental Off-Target Concordance Atlas (Cas9)</w:t>
            </w:r>
          </w:p>
          <w:p w:rsidR="007C10D4" w:rsidRDefault="00000000">
            <w:pPr>
              <w:spacing w:after="100"/>
            </w:pPr>
            <w:r>
              <w:rPr>
                <w:rFonts w:ascii="Arial" w:hAnsi="Arial"/>
                <w:i/>
                <w:color w:val="7B241C"/>
                <w:sz w:val="18"/>
              </w:rPr>
              <w:t xml:space="preserve">  Off-Target Analysis &amp; Gene Editing Safety</w:t>
            </w:r>
          </w:p>
          <w:p w:rsidR="007C10D4" w:rsidRDefault="00000000">
            <w:pPr>
              <w:spacing w:after="100"/>
            </w:pPr>
            <w:r>
              <w:rPr>
                <w:rFonts w:ascii="Arial" w:hAnsi="Arial"/>
                <w:color w:val="333333"/>
                <w:sz w:val="19"/>
              </w:rPr>
              <w:t xml:space="preserve">Use the CHANGE-seq dataset from Lazzarotto et al. 2020 (~200 SpCas9 guide RNAs with genome-wide experimental off-target readouts) as ground truth. For each guide, run four in silico tools — Cas-OFFinder, CRISPOR with CFD score, DeepCRISPR, and CRISTA — and compute AUROC, sensitivity, specificity, and PPV against experimental results. Stratify performance by mismatch count, mismatch position (seed vs. PAM-distal), GC content, and chromatin state of the off-target locus using ENCODE ATAC-seq data. </w:t>
            </w:r>
            <w:r>
              <w:rPr>
                <w:rFonts w:ascii="Arial" w:hAnsi="Arial"/>
                <w:color w:val="333333"/>
                <w:sz w:val="19"/>
              </w:rPr>
              <w:lastRenderedPageBreak/>
              <w:t>Deliverable: a concordance matrix and ranked tool recommendation by guide RNA context — directly useful for a gene therapy computational safety team.</w:t>
            </w:r>
          </w:p>
          <w:p w:rsidR="007C10D4" w:rsidRDefault="00000000">
            <w:pPr>
              <w:spacing w:after="120"/>
            </w:pPr>
            <w:r>
              <w:rPr>
                <w:rFonts w:ascii="Arial" w:hAnsi="Arial"/>
                <w:b/>
                <w:color w:val="555555"/>
                <w:sz w:val="18"/>
              </w:rPr>
              <w:t xml:space="preserve">  Key Tools:  </w:t>
            </w:r>
            <w:r>
              <w:rPr>
                <w:rFonts w:ascii="Arial" w:hAnsi="Arial"/>
                <w:color w:val="555555"/>
                <w:sz w:val="18"/>
              </w:rPr>
              <w:t>Cas-OFFinder, CRISPOR (CFD score), DeepCRISPR, CRISTA, pybedtools / pyranges, ENCODE ATAC-seq, scikit-learn, seaborn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Use the CHANGE-seq dataset from Lazzarotto et al. 2020 (Nature Biotechnology) as experimental ground truth — download the publicly available guide RNA / off-target site table and compute your own AUROC, sensitivity, and FDR for each in silico tool against these labels. Report per-tool AUROC and the precision-recall curve; there are no specific published numbers to reproduce here — generating this comparison yourself is the scientific contribution.</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Confirm that experimental off-target sites are significantly enriched in open chromatin (ATAC-seq signal) vs. all predicted-but-not-validated candidate sites, reproducing the chromatin enrichment result from Yarrington et al. 2018 (PLOS Genetics) — Mann-Whitney p &lt; 0.001 as a quality threshold.</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Per-tool AUROC and precision-recall AUC on CHANGE-seq ground truth; recall at top-k predicted sites per guide; chromatin accessibility enrichment odds ratio at experimental vs. predicted-only sites.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7B241C"/>
              <w:left w:val="single" w:sz="8" w:space="0" w:color="7B241C"/>
              <w:bottom w:val="single" w:sz="8" w:space="0" w:color="7B241C"/>
              <w:right w:val="single" w:sz="8" w:space="0" w:color="7B241C"/>
            </w:tcBorders>
          </w:tcPr>
          <w:p w:rsidR="007C10D4" w:rsidRDefault="00000000">
            <w:pPr>
              <w:spacing w:before="140" w:after="40"/>
            </w:pPr>
            <w:r>
              <w:rPr>
                <w:rFonts w:ascii="Arial" w:hAnsi="Arial"/>
                <w:b/>
                <w:color w:val="C9A84C"/>
              </w:rPr>
              <w:t xml:space="preserve">  #11  </w:t>
            </w:r>
            <w:r>
              <w:rPr>
                <w:rFonts w:ascii="Arial" w:hAnsi="Arial"/>
                <w:b/>
                <w:color w:val="1F3864"/>
                <w:sz w:val="24"/>
              </w:rPr>
              <w:t>Off-Target Landscape Comparison Across Editing Modalities</w:t>
            </w:r>
          </w:p>
          <w:p w:rsidR="007C10D4" w:rsidRDefault="00000000">
            <w:pPr>
              <w:spacing w:after="100"/>
            </w:pPr>
            <w:r>
              <w:rPr>
                <w:rFonts w:ascii="Arial" w:hAnsi="Arial"/>
                <w:i/>
                <w:color w:val="7B241C"/>
                <w:sz w:val="18"/>
              </w:rPr>
              <w:t xml:space="preserve">  Off-Target Analysis &amp; Gene Editing Safety</w:t>
            </w:r>
          </w:p>
          <w:p w:rsidR="007C10D4" w:rsidRDefault="00000000">
            <w:pPr>
              <w:spacing w:after="100"/>
            </w:pPr>
            <w:r>
              <w:rPr>
                <w:rFonts w:ascii="Arial" w:hAnsi="Arial"/>
                <w:color w:val="333333"/>
                <w:sz w:val="19"/>
              </w:rPr>
              <w:t xml:space="preserve">Aggregate public off-target datasets across three editing modalities and build a unified comparative analysis. For Cas9, use GUIDE-seq (Tsai et al. 2015) and CHANGE-seq (Lazzarotto et al. 2020). For base editors (CBE/ABE), use Grunewald et al. 2019 and Zuo et al. 2019, which capture both DNA and transcriptome-wide RNA off-targets. For prime editors, use Anzalone et al. 2022 and Kim et al. 2022. For each modality, </w:t>
            </w:r>
            <w:r>
              <w:rPr>
                <w:rFonts w:ascii="Arial" w:hAnsi="Arial"/>
                <w:color w:val="333333"/>
                <w:sz w:val="19"/>
              </w:rPr>
              <w:lastRenderedPageBreak/>
              <w:t>characterize: total off-target count per guide, genomic location distribution (exonic/intronic/intergenic), on/off-target ratio, and lesion type (DSB vs. point mutation vs. indel). Use Claude to synthesize findings into a structured safety risk comparison report of the kind used in IND-enabling studies.</w:t>
            </w:r>
          </w:p>
          <w:p w:rsidR="007C10D4" w:rsidRDefault="00000000">
            <w:pPr>
              <w:spacing w:after="120"/>
            </w:pPr>
            <w:r>
              <w:rPr>
                <w:rFonts w:ascii="Arial" w:hAnsi="Arial"/>
                <w:b/>
                <w:color w:val="555555"/>
                <w:sz w:val="18"/>
              </w:rPr>
              <w:t xml:space="preserve">  Key Tools:  </w:t>
            </w:r>
            <w:r>
              <w:rPr>
                <w:rFonts w:ascii="Arial" w:hAnsi="Arial"/>
                <w:color w:val="555555"/>
                <w:sz w:val="18"/>
              </w:rPr>
              <w:t>Python, pybedtools / pyranges, Biopython, pandas, seaborn, GEO / SRA tools, Claude API</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 RNA off-target frequency comparison from Grunewald et al. 2019 (Nature): confirm ABEmax shows &gt;10-fold reduction in transcriptome-wide RNA off-targets relative to ABE7.10, and that ABEmax A-to-I RNA editing rate is &lt; 0.1% as reported in their Supplementary Table 3.</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Reproduce the prime editor off-target frequency result from Anzalone et al. 2022: confirm that PE3 shows fewer off-target indels than Cas9 nuclease on matched guide sequences, consistent with the &gt;= 3-fold reduction reported across their benchmark loci.</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Off-target frequency (per guide) by modality; RNA vs. DNA off-target ratio for base editors; genomic location distribution chi-square test across modalities.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7B241C"/>
              <w:left w:val="single" w:sz="8" w:space="0" w:color="7B241C"/>
              <w:bottom w:val="single" w:sz="8" w:space="0" w:color="7B241C"/>
              <w:right w:val="single" w:sz="8" w:space="0" w:color="7B241C"/>
            </w:tcBorders>
          </w:tcPr>
          <w:p w:rsidR="007C10D4" w:rsidRDefault="00000000">
            <w:pPr>
              <w:spacing w:before="140" w:after="40"/>
            </w:pPr>
            <w:r>
              <w:rPr>
                <w:rFonts w:ascii="Arial" w:hAnsi="Arial"/>
                <w:b/>
                <w:color w:val="C9A84C"/>
              </w:rPr>
              <w:t xml:space="preserve">  #12  </w:t>
            </w:r>
            <w:r>
              <w:rPr>
                <w:rFonts w:ascii="Arial" w:hAnsi="Arial"/>
                <w:b/>
                <w:color w:val="1F3864"/>
                <w:sz w:val="24"/>
              </w:rPr>
              <w:t>Chromatin-Aware Off-Target Risk Classifier</w:t>
            </w:r>
          </w:p>
          <w:p w:rsidR="007C10D4" w:rsidRDefault="00000000">
            <w:pPr>
              <w:spacing w:after="100"/>
            </w:pPr>
            <w:r>
              <w:rPr>
                <w:rFonts w:ascii="Arial" w:hAnsi="Arial"/>
                <w:i/>
                <w:color w:val="7B241C"/>
                <w:sz w:val="18"/>
              </w:rPr>
              <w:t xml:space="preserve">  Off-Target Analysis &amp; Gene Editing Safety</w:t>
            </w:r>
          </w:p>
          <w:p w:rsidR="007C10D4" w:rsidRDefault="00000000">
            <w:pPr>
              <w:spacing w:after="100"/>
            </w:pPr>
            <w:r>
              <w:rPr>
                <w:rFonts w:ascii="Arial" w:hAnsi="Arial"/>
                <w:color w:val="333333"/>
                <w:sz w:val="19"/>
              </w:rPr>
              <w:t xml:space="preserve">Build a gradient boosting classifier that combines sequence features (mismatch count, mismatch positions and types, GC content, PAM strength) with epigenomic context (ATAC-seq or DNASE-seq signal at the candidate site from ENCODE, pulled via pyranges overlaps) and conservation score (phastCons100way via pyBigWig). Train on aggregated CHANGE-seq + GUIDE-seq datasets; validate on a held-out set. Compare AUROC against CFD score and DeepCRISPR as baselines. Use SHAP to generate per-feature importance plots explaining what drives risk at each candidate site. Deliverable: a practical risk ranker that scores all </w:t>
            </w:r>
            <w:r>
              <w:rPr>
                <w:rFonts w:ascii="Arial" w:hAnsi="Arial"/>
                <w:color w:val="333333"/>
                <w:sz w:val="19"/>
              </w:rPr>
              <w:lastRenderedPageBreak/>
              <w:t>candidate off-target sites for a new guide RNA and returns the top-20 highest-risk loci with epigenomic context — exactly what a computational safety team runs before IND guide nomination.</w:t>
            </w:r>
          </w:p>
          <w:p w:rsidR="007C10D4" w:rsidRDefault="00000000">
            <w:pPr>
              <w:spacing w:after="120"/>
            </w:pPr>
            <w:r>
              <w:rPr>
                <w:rFonts w:ascii="Arial" w:hAnsi="Arial"/>
                <w:b/>
                <w:color w:val="555555"/>
                <w:sz w:val="18"/>
              </w:rPr>
              <w:t xml:space="preserve">  Key Tools:  </w:t>
            </w:r>
            <w:r>
              <w:rPr>
                <w:rFonts w:ascii="Arial" w:hAnsi="Arial"/>
                <w:color w:val="555555"/>
                <w:sz w:val="18"/>
              </w:rPr>
              <w:t>XGBoost / LightGBM, scikit-learn, pyranges, ENCODE REST API, pyBigWig (phastCons), SHAP, matplotlib</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Confirm classifier improves AUROC by &gt;= 5 percentage points over CFD score alone on the held-out CHANGE-seq test set (stratified split by guide RNA, not by site, to avoid data leakage).</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SHAP feature importance validation: confirm that chromatin accessibility (ATAC-seq signal) and mismatch position in the seed region (positions 1-12) rank in the top 3 features by mean absolute SHAP value, consistent with the mechanistic literature (Yarrington et al. 2018, Kuscu et al. 2014).</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AUROC vs. CFD-score-only and DeepCRISPR baselines on held-out guides; precision at top-20 predicted sites; SHAP feature rank alignment with mechanistic literature.</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#13  </w:t>
            </w:r>
            <w:r>
              <w:rPr>
                <w:rFonts w:ascii="Arial" w:hAnsi="Arial"/>
                <w:b/>
                <w:color w:val="1F3864"/>
                <w:sz w:val="24"/>
              </w:rPr>
              <w:t>ProteinMPNN Sequence Design Pipeline</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Use ProteinMPNN to redesign the sequence of a known protein scaffold (e.g., a binding domain or enzyme active site) and predict stability improvements. Build a Python pipeline that takes a PDB file as input, runs MPNN, filters sequences by predicted score, and outputs a ranked FASTA. Document everything in GitHub with a clean README and versioned runs.</w:t>
            </w:r>
          </w:p>
          <w:p w:rsidR="007C10D4" w:rsidRDefault="00000000">
            <w:pPr>
              <w:spacing w:after="120"/>
            </w:pPr>
            <w:r>
              <w:rPr>
                <w:rFonts w:ascii="Arial" w:hAnsi="Arial"/>
                <w:b/>
                <w:color w:val="555555"/>
                <w:sz w:val="18"/>
              </w:rPr>
              <w:t xml:space="preserve">  Key Tools:  </w:t>
            </w:r>
            <w:r>
              <w:rPr>
                <w:rFonts w:ascii="Arial" w:hAnsi="Arial"/>
                <w:color w:val="555555"/>
                <w:sz w:val="18"/>
              </w:rPr>
              <w:t>ProteinMPNN, ESMFold, Biopython, Python CLI</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 native sequence recovery result from Dauparas et al. 2022 (Science): ProteinMPNN achieves 52.4% native sequence recovery on single-chain proteins vs. 32.9% for Rosetta (Table 1 / Figure 1D). Run on a held-out set of PDB monomers and confirm your pipeline recovers ~52% of native residues, matching the published number.</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Run on 3-5 CATH-representative PDB structures and confirm that ESMFold pLDDT of designed sequences is &gt;= 0.80 — this is a widely used empirical threshold for a well-folded design, consistent with filtering criteria in the RFDiffusion and ProteinMPNN papers.</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Native sequence recovery rate (%) vs. Rosetta baseline; ESMFold pLDDT of top-ranked designed sequences.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#14  </w:t>
            </w:r>
            <w:r>
              <w:rPr>
                <w:rFonts w:ascii="Arial" w:hAnsi="Arial"/>
                <w:b/>
                <w:color w:val="1F3864"/>
                <w:sz w:val="24"/>
              </w:rPr>
              <w:t>RFDiffusion De Novo Binder Design</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Use RoseTTAFold Diffusion to generate novel protein binders targeting a clinically relevant surface (e.g., a cytokine receptor or viral spike protein epitope). Filter outputs with ProteinMPNN + ESMFold confidence scoring. Demonstrates the full 'diffusion -&gt; MPNN -&gt; structure validation' loop.</w:t>
            </w:r>
          </w:p>
          <w:p w:rsidR="007C10D4" w:rsidRDefault="00000000">
            <w:pPr>
              <w:spacing w:after="120"/>
            </w:pPr>
            <w:r>
              <w:rPr>
                <w:rFonts w:ascii="Arial" w:hAnsi="Arial"/>
                <w:b/>
                <w:color w:val="555555"/>
                <w:sz w:val="18"/>
              </w:rPr>
              <w:t xml:space="preserve">  Key Tools:  </w:t>
            </w:r>
            <w:r>
              <w:rPr>
                <w:rFonts w:ascii="Arial" w:hAnsi="Arial"/>
                <w:color w:val="555555"/>
                <w:sz w:val="18"/>
              </w:rPr>
              <w:t>RFDiffusion, ProteinMPNN, ESMFold, Python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lastRenderedPageBreak/>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 IL-7Ra miniprotein binder results from Watson et al. 2023 (Nature): target the same receptor surface and confirm predicted binders have ipTM &gt; 0.80 when re-docked with AlphaFold-Multimer or Boltz-1.</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Use AF2-Multimer (ColabFold) to predict the complex structure of your top designed binder with its target; ipTM &gt; 0.75 and pTM &gt; 0.65 are accepted filters from the Watson et al. paper.</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ipTM score, pLDDT of monomer, RMSD to design model.</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#15  </w:t>
            </w:r>
            <w:r>
              <w:rPr>
                <w:rFonts w:ascii="Arial" w:hAnsi="Arial"/>
                <w:b/>
                <w:color w:val="1F3864"/>
                <w:sz w:val="24"/>
              </w:rPr>
              <w:t>ESMFold Structure Prediction &amp; Comparison Tool</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Build a Python tool that takes a list of sequences (natural vs. MPNN-designed variants), runs ESMFold on each, and produces a comparative report: pLDDT plots, RMSD vs. reference structure, and a summary table. Deploy as a simple CLI or Streamlit app.</w:t>
            </w:r>
          </w:p>
          <w:p w:rsidR="007C10D4" w:rsidRDefault="00000000">
            <w:pPr>
              <w:spacing w:after="120"/>
            </w:pPr>
            <w:r>
              <w:rPr>
                <w:rFonts w:ascii="Arial" w:hAnsi="Arial"/>
                <w:b/>
                <w:color w:val="555555"/>
                <w:sz w:val="18"/>
              </w:rPr>
              <w:t xml:space="preserve">  Key Tools:  </w:t>
            </w:r>
            <w:r>
              <w:rPr>
                <w:rFonts w:ascii="Arial" w:hAnsi="Arial"/>
                <w:color w:val="555555"/>
                <w:sz w:val="18"/>
              </w:rPr>
              <w:t>ESMFold, py3Dmol, Pandas, Streamlit or CLI</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lastRenderedPageBreak/>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ESMFold accuracy benchmarks from Lin et al. 2023 (Science): run on the CAMEO test set (publicly available) and confirm mean TM-score &gt;= 0.90 on easy targets, consistent with the paper's reported mean of ~0.90 on easy CAMEO targets (note: hard targets score ~0.45, so stratify by difficulty).</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Compare ESMFold vs. ColabFold predictions on 10 held-out PDB structures using TM-align; both should achieve TM-score &gt; 0.85 to confirm correct installation and usage.</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TM-score vs. experimental PDB structure, pLDDT correlation.</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#16  </w:t>
            </w:r>
            <w:r>
              <w:rPr>
                <w:rFonts w:ascii="Arial" w:hAnsi="Arial"/>
                <w:b/>
                <w:color w:val="1F3864"/>
                <w:sz w:val="24"/>
              </w:rPr>
              <w:t>ESM-2 Embeddings for Fitness Prediction</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Use ESM-2 embeddings as features and train a lightweight regressor to predict experimental fitness scores from a public deep mutational scanning (DMS) dataset. Teaches transfer learning from protein language models.</w:t>
            </w:r>
          </w:p>
          <w:p w:rsidR="007C10D4" w:rsidRDefault="00000000">
            <w:pPr>
              <w:spacing w:after="120"/>
            </w:pPr>
            <w:r>
              <w:rPr>
                <w:rFonts w:ascii="Arial" w:hAnsi="Arial"/>
                <w:b/>
                <w:color w:val="555555"/>
                <w:sz w:val="18"/>
              </w:rPr>
              <w:t xml:space="preserve">  Key Tools:  </w:t>
            </w:r>
            <w:r>
              <w:rPr>
                <w:rFonts w:ascii="Arial" w:hAnsi="Arial"/>
                <w:color w:val="555555"/>
                <w:sz w:val="18"/>
              </w:rPr>
              <w:t>ESM-2, scikit-learn / XGBoost, ProtaBank / DMS datasets</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benchmark results from the ProteinGym substitution benchmark (Notin et al. 2022, NeurIPS): evaluate Spearman correlation on &gt;= 5 DMS assays from their public dataset, targeting Spearman rho &gt; 0.45 to match ESM-1v zero-shot performance reported in the paper.</w:t>
            </w:r>
          </w:p>
          <w:p w:rsidR="007C10D4" w:rsidRDefault="00000000">
            <w:pPr>
              <w:spacing w:before="40" w:after="60"/>
              <w:ind w:left="240"/>
            </w:pPr>
            <w:r>
              <w:rPr>
                <w:rFonts w:ascii="Arial" w:hAnsi="Arial"/>
                <w:b/>
                <w:color w:val="8B4513"/>
                <w:sz w:val="18"/>
              </w:rPr>
              <w:lastRenderedPageBreak/>
              <w:t xml:space="preserve">  2.  </w:t>
            </w:r>
            <w:r>
              <w:rPr>
                <w:rFonts w:ascii="Arial" w:hAnsi="Arial"/>
                <w:color w:val="333333"/>
                <w:sz w:val="18"/>
              </w:rPr>
              <w:t>Compare your supervised ESM-2 regressor against the ESM-1v zero-shot baseline from ProteinGym leaderboard on the same assays — your model should outperform zero-shot given labeled training data.</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Spearman rho on held-out DMS variants; AUC for beneficial vs. deleterious variant classification.</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#17  </w:t>
            </w:r>
            <w:r>
              <w:rPr>
                <w:rFonts w:ascii="Arial" w:hAnsi="Arial"/>
                <w:b/>
                <w:color w:val="1F3864"/>
                <w:sz w:val="24"/>
              </w:rPr>
              <w:t>Enzyme Engineering with Directed Evolution Simulation</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Simulate a directed evolution campaign using ProteinMPNN for sequence proposals and an ESM-based fitness predictor to score variants. Track each 'generation' in git as a versioned experiment log.</w:t>
            </w:r>
          </w:p>
          <w:p w:rsidR="007C10D4" w:rsidRDefault="00000000">
            <w:pPr>
              <w:spacing w:after="120"/>
            </w:pPr>
            <w:r>
              <w:rPr>
                <w:rFonts w:ascii="Arial" w:hAnsi="Arial"/>
                <w:b/>
                <w:color w:val="555555"/>
                <w:sz w:val="18"/>
              </w:rPr>
              <w:t xml:space="preserve">  Key Tools:  </w:t>
            </w:r>
            <w:r>
              <w:rPr>
                <w:rFonts w:ascii="Arial" w:hAnsi="Arial"/>
                <w:color w:val="555555"/>
                <w:sz w:val="18"/>
              </w:rPr>
              <w:t>ProteinMPNN, ESM-2, MLflow, Python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Use the GB1 four-position combinatorial fitness landscape (Wu et al. 2016, eLife 5:e16965) as ground truth: the dataset covers all 160,000 variants at positions V39/D40/G41/V54. Simulate evolution from wild-type and confirm your pipeline enriches for the known high-fitness quadrant (fitness &gt; 1.0) in the top 5% of proposed variants — the fraction of beneficial variants is ~2.4% overall, so enrichment above that baseline is meaningful.</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Reproduce EvoProtGrad's published enrichment results on the GFP brightness landscape (Sarkisyan et al. 2016) as a secondary benchmark, confirming average fitness gain per generation matches their published curves.</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Enrichment of experimentally validated high-fitness variants in top-k predictions; Spearman rho between predicted and measured fitness.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lastRenderedPageBreak/>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#18  </w:t>
            </w:r>
            <w:r>
              <w:rPr>
                <w:rFonts w:ascii="Arial" w:hAnsi="Arial"/>
                <w:b/>
                <w:color w:val="1F3864"/>
                <w:sz w:val="24"/>
              </w:rPr>
              <w:t>Antibody &amp; Nanobody Design Pipeline</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Build an end-to-end antibody engineering workflow: ABodyBuilder2 / IgFold for antibody structure prediction, NanoBodyBuilder2 for VHH nanobodies, and AbMPNN to redesign CDR loops. Score designs using DiffAb for generative sampling.</w:t>
            </w:r>
          </w:p>
          <w:p w:rsidR="007C10D4" w:rsidRDefault="00000000">
            <w:pPr>
              <w:spacing w:after="120"/>
            </w:pPr>
            <w:r>
              <w:rPr>
                <w:rFonts w:ascii="Arial" w:hAnsi="Arial"/>
                <w:b/>
                <w:color w:val="555555"/>
                <w:sz w:val="18"/>
              </w:rPr>
              <w:t xml:space="preserve">  Key Tools:  </w:t>
            </w:r>
            <w:r>
              <w:rPr>
                <w:rFonts w:ascii="Arial" w:hAnsi="Arial"/>
                <w:color w:val="555555"/>
                <w:sz w:val="18"/>
              </w:rPr>
              <w:t>ABodyBuilder2, IgFold, NanoBodyBuilder2, AbMPNN, DiffAb</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IgFold benchmark from Jin et al. 2022 (Nature Communications): run on their 34-antibody test set from SAbDab and confirm RMSD on CDR H3 loops &lt; 3.0 Angstroms for &gt;= 80% of structures, matching their reported accuracy.</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Validate NanoBodyBuilder2 on the public NbBench dataset: predict structures for 20 nanobodies with known crystal structures and confirm median CDR3 RMSD &lt; 2.5 Angstroms as reported in their paper.</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CDR H3 RMSD vs. crystal structure (Angstroms); full antibody RMSD; pLDDT on designed CDR variants.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lastRenderedPageBreak/>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#19  </w:t>
            </w:r>
            <w:r>
              <w:rPr>
                <w:rFonts w:ascii="Arial" w:hAnsi="Arial"/>
                <w:b/>
                <w:color w:val="1F3864"/>
                <w:sz w:val="24"/>
              </w:rPr>
              <w:t>LigandMPNN + RFDiffusion All-Atom for Binding Pocket Design</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Take a target small molecule and use RFAA to diffuse a protein scaffold around it, then LigandMPNN to design the binding-site sequence. Validate designs with ESMFold pLDDT and Boltz-1 / Chai-1 for complex structure prediction.</w:t>
            </w:r>
          </w:p>
          <w:p w:rsidR="007C10D4" w:rsidRDefault="00000000">
            <w:pPr>
              <w:spacing w:after="120"/>
            </w:pPr>
            <w:r>
              <w:rPr>
                <w:rFonts w:ascii="Arial" w:hAnsi="Arial"/>
                <w:b/>
                <w:color w:val="555555"/>
                <w:sz w:val="18"/>
              </w:rPr>
              <w:t xml:space="preserve">  Key Tools:  </w:t>
            </w:r>
            <w:r>
              <w:rPr>
                <w:rFonts w:ascii="Arial" w:hAnsi="Arial"/>
                <w:color w:val="555555"/>
                <w:sz w:val="18"/>
              </w:rPr>
              <w:t>RFDiffusion All-Atom (RFAA), LigandMPNN, Boltz-1 / Chai-1</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LigandMPNN sequence recovery results from Dauparas et al. (Nature Methods 2025): run on protein-small molecule complexes from the PDB and confirm binding-site sequence recovery &gt;= 63% (vs. ~50% for vanilla ProteinMPNN without ligand context) — the paper reports 63.3% vs. 50.4% for small-molecule interacting residues.</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Re-dock the top designed sequence-ligand pair using AutoDock Vina or Gnina as an orthogonal validator; confirm the ligand pose RMSD &lt; 2.0 Angstroms relative to the design model.</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Binding-site sequence recovery (%); ligand RMSD on re-docking; pLDDT of the designed protein scaffold.</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#20  </w:t>
            </w:r>
            <w:r>
              <w:rPr>
                <w:rFonts w:ascii="Arial" w:hAnsi="Arial"/>
                <w:b/>
                <w:color w:val="1F3864"/>
                <w:sz w:val="24"/>
              </w:rPr>
              <w:t>ESM3 Multimodal Protein Generation &amp; Editing</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ESM3 jointly reasons over sequence, structure, and function tokens. Build a project that uses ESM3 to generate novel sequences conditioned on a known fold, complete partial structures, and perform function-guided editing via GO term tokens. Compare outputs to RFDiffusion+MPNN designs.</w:t>
            </w:r>
          </w:p>
          <w:p w:rsidR="007C10D4" w:rsidRDefault="00000000">
            <w:pPr>
              <w:spacing w:after="120"/>
            </w:pPr>
            <w:r>
              <w:rPr>
                <w:rFonts w:ascii="Arial" w:hAnsi="Arial"/>
                <w:b/>
                <w:color w:val="555555"/>
                <w:sz w:val="18"/>
              </w:rPr>
              <w:t xml:space="preserve">  Key Tools:  </w:t>
            </w:r>
            <w:r>
              <w:rPr>
                <w:rFonts w:ascii="Arial" w:hAnsi="Arial"/>
                <w:color w:val="555555"/>
                <w:sz w:val="18"/>
              </w:rPr>
              <w:t>ESM3 (EvolutionaryScale), ESMFold, TMalign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 eSM3-generated 'ancient GFP' case study from Hayes et al. 2024 (Science): start from a template GFP structure and generate sequence variants with ESM3; confirm top variants have predicted fluorescence-associated motifs intact and pLDDT &gt; 0.80 on ESMFold.</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For structure completion: mask 30% of a known PDB structure's sequence tokens, run ESM3 completion, then measure TM-score of the predicted structure vs. the original PDB — target TM-score &gt; 0.85 as a quality threshold.</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pLDDT of generated sequences, TM-score vs. template fold, sequence identity to nearest natural homolog (novelty check via BLASTp).</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lastRenderedPageBreak/>
              <w:t xml:space="preserve">  #21  </w:t>
            </w:r>
            <w:r>
              <w:rPr>
                <w:rFonts w:ascii="Arial" w:hAnsi="Arial"/>
                <w:b/>
                <w:color w:val="1F3864"/>
                <w:sz w:val="24"/>
              </w:rPr>
              <w:t>Protein Stability Engineering: ThermoMPNN + Rosetta ddG</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Build a stability-first design pipeline: use ThermoMPNN to propose thermostabilizing mutations, then validate with Rosetta CartDDG or FoldX for physics-based delta-delta-G estimation. Benchmark against a public dataset.</w:t>
            </w:r>
          </w:p>
          <w:p w:rsidR="007C10D4" w:rsidRDefault="00000000">
            <w:pPr>
              <w:spacing w:after="120"/>
            </w:pPr>
            <w:r>
              <w:rPr>
                <w:rFonts w:ascii="Arial" w:hAnsi="Arial"/>
                <w:b/>
                <w:color w:val="555555"/>
                <w:sz w:val="18"/>
              </w:rPr>
              <w:t xml:space="preserve">  Key Tools:  </w:t>
            </w:r>
            <w:r>
              <w:rPr>
                <w:rFonts w:ascii="Arial" w:hAnsi="Arial"/>
                <w:color w:val="555555"/>
                <w:sz w:val="18"/>
              </w:rPr>
              <w:t>ThermoMPNN, Rosetta CartDDG / FoldX, ProThermDB, Python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ThermoMPNN benchmark from Dieckhaus et al. 2024 (PNAS) using the Megascale dataset (Tsuboyama et al. 2023, Nature — 765,000 measured stability changes): the paper reports Pearson r = 0.754 on the Megascale test set. Confirm your pipeline achieves Pearson r &gt;= 0.70 as a practical threshold.</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Cross-validate top ThermoMPNN mutations with FoldX ddG on the same proteins; mutations predicted as stabilising by both methods (ddG &lt; -0.5 kcal/mol) should be enriched in experimentally validated stabilising mutations from ProThermDB (positive predictive value &gt;= 65%).</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Pearson r and Spearman rho vs. Megascale measurements; PPV of dual-method agreement for stabilising mutations.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#22  </w:t>
            </w:r>
            <w:r>
              <w:rPr>
                <w:rFonts w:ascii="Arial" w:hAnsi="Arial"/>
                <w:b/>
                <w:color w:val="1F3864"/>
                <w:sz w:val="24"/>
              </w:rPr>
              <w:t>Structural Search &amp; Evolutionary Analysis: Foldseek + ColabFold</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 xml:space="preserve">Predict structures with ESMFold / ColabFold, then search against the PDB and AlphaFold DB using Foldseek. Cluster hits by TM-score, annotate with function, and use EvoProtGrad to guide optimization </w:t>
            </w:r>
            <w:r>
              <w:rPr>
                <w:rFonts w:ascii="Arial" w:hAnsi="Arial"/>
                <w:color w:val="333333"/>
                <w:sz w:val="19"/>
              </w:rPr>
              <w:lastRenderedPageBreak/>
              <w:t>toward a target region of protein space.</w:t>
            </w:r>
          </w:p>
          <w:p w:rsidR="007C10D4" w:rsidRDefault="00000000">
            <w:pPr>
              <w:spacing w:after="120"/>
            </w:pPr>
            <w:r>
              <w:rPr>
                <w:rFonts w:ascii="Arial" w:hAnsi="Arial"/>
                <w:b/>
                <w:color w:val="555555"/>
                <w:sz w:val="18"/>
              </w:rPr>
              <w:t xml:space="preserve">  Key Tools:  </w:t>
            </w:r>
            <w:r>
              <w:rPr>
                <w:rFonts w:ascii="Arial" w:hAnsi="Arial"/>
                <w:color w:val="555555"/>
                <w:sz w:val="18"/>
              </w:rPr>
              <w:t>Foldseek, ColabFold, EvoProtGrad, ESMFold, TMalign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Foldseek benchmarks from van Kempen et al. 2023 (Nature Biotechnology): run structural search on the SCOPe40 benchmark and confirm Foldseek achieves similar sensitivity to DALI (the paper reports near-parity at family/superfamily level, with Foldseek ~13% less precise but ~15% more sensitive than CE). Measure AUC of the ROC curve up to the first false positive across superfamily classifications, matching the paper's protocol.</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Validate EvoProtGrad-guided optimization by starting from a wild-type sequence and running 5 rounds of optimization toward higher ESM-2 pseudo-likelihood; confirm each round yields measurably improved predicted fitness on the ProteinGym benchmark assay for that protein family.</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Foldseek sensitivity vs. DALI on SCOPe; EvoProtGrad fitness trajectory (ESM log-likelihood per round).</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F3864"/>
              <w:left w:val="single" w:sz="8" w:space="0" w:color="1F3864"/>
              <w:bottom w:val="single" w:sz="8" w:space="0" w:color="1F3864"/>
              <w:right w:val="single" w:sz="8" w:space="0" w:color="1F3864"/>
            </w:tcBorders>
          </w:tcPr>
          <w:p w:rsidR="007C10D4" w:rsidRDefault="00000000">
            <w:pPr>
              <w:spacing w:before="140" w:after="40"/>
            </w:pPr>
            <w:r>
              <w:rPr>
                <w:rFonts w:ascii="Arial" w:hAnsi="Arial"/>
                <w:b/>
                <w:color w:val="C9A84C"/>
              </w:rPr>
              <w:t xml:space="preserve">  #23  </w:t>
            </w:r>
            <w:r>
              <w:rPr>
                <w:rFonts w:ascii="Arial" w:hAnsi="Arial"/>
                <w:b/>
                <w:color w:val="1F3864"/>
                <w:sz w:val="24"/>
              </w:rPr>
              <w:t>AlphaFold2 Multimer for Complex Prediction + Interface Analysis</w:t>
            </w:r>
          </w:p>
          <w:p w:rsidR="007C10D4" w:rsidRDefault="00000000">
            <w:pPr>
              <w:spacing w:after="100"/>
            </w:pPr>
            <w:r>
              <w:rPr>
                <w:rFonts w:ascii="Arial" w:hAnsi="Arial"/>
                <w:i/>
                <w:color w:val="1F3864"/>
                <w:sz w:val="18"/>
              </w:rPr>
              <w:t xml:space="preserve">  Protein Design &amp; Engineering</w:t>
            </w:r>
          </w:p>
          <w:p w:rsidR="007C10D4" w:rsidRDefault="00000000">
            <w:pPr>
              <w:spacing w:after="100"/>
            </w:pPr>
            <w:r>
              <w:rPr>
                <w:rFonts w:ascii="Arial" w:hAnsi="Arial"/>
                <w:color w:val="333333"/>
                <w:sz w:val="19"/>
              </w:rPr>
              <w:t>Use ColabFold (AlphaFold-Multimer backend) to predict structures of protein complexes of therapeutic interest. Write a Python script to extract and score the predicted interface: buried surface area, predicted interface pTM.</w:t>
            </w:r>
          </w:p>
          <w:p w:rsidR="007C10D4" w:rsidRDefault="00000000">
            <w:pPr>
              <w:spacing w:after="120"/>
            </w:pPr>
            <w:r>
              <w:rPr>
                <w:rFonts w:ascii="Arial" w:hAnsi="Arial"/>
                <w:b/>
                <w:color w:val="555555"/>
                <w:sz w:val="18"/>
              </w:rPr>
              <w:t xml:space="preserve">  Key Tools:  </w:t>
            </w:r>
            <w:r>
              <w:rPr>
                <w:rFonts w:ascii="Arial" w:hAnsi="Arial"/>
                <w:color w:val="555555"/>
                <w:sz w:val="18"/>
              </w:rPr>
              <w:t>ColabFold (AF-Multimer backend), Python, Biopython, py3Dmol</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AF-Multimer accuracy results from Evans et al. 2022 (bioRxiv preprint, widely adopted): on a set of recent heteromeric protein complexes with known crystal structures, the paper reports DockQ &gt;= 0.23 (acceptable quality) on 70% of heteromeric interfaces. Evaluate your pipeline on 20+ held-out PDB heterodimers and target &gt;= 60% acceptable-quality predictions as a practical threshold.</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Validate interface pTM as a ranking metric: for 10 known binding pairs vs. 10 known non-binders (from Negatome database), confirm ipTM &gt; 0.6 correctly separates binders from non-binders with AUC &gt; 0.80.</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DockQ score vs. crystal structure; ipTM as binder classifier AUC; buried surface area correlation with known affinity data.</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A5276"/>
              <w:left w:val="single" w:sz="8" w:space="0" w:color="1A5276"/>
              <w:bottom w:val="single" w:sz="8" w:space="0" w:color="1A5276"/>
              <w:right w:val="single" w:sz="8" w:space="0" w:color="1A5276"/>
            </w:tcBorders>
          </w:tcPr>
          <w:p w:rsidR="007C10D4" w:rsidRDefault="00000000">
            <w:pPr>
              <w:spacing w:before="140" w:after="40"/>
            </w:pPr>
            <w:r>
              <w:rPr>
                <w:rFonts w:ascii="Arial" w:hAnsi="Arial"/>
                <w:b/>
                <w:color w:val="C9A84C"/>
              </w:rPr>
              <w:t xml:space="preserve">  #24  </w:t>
            </w:r>
            <w:r>
              <w:rPr>
                <w:rFonts w:ascii="Arial" w:hAnsi="Arial"/>
                <w:b/>
                <w:color w:val="1F3864"/>
                <w:sz w:val="24"/>
              </w:rPr>
              <w:t>Scientific Literature RAG Agent (Biotech-Focused)</w:t>
            </w:r>
          </w:p>
          <w:p w:rsidR="007C10D4" w:rsidRDefault="00000000">
            <w:pPr>
              <w:spacing w:after="100"/>
            </w:pPr>
            <w:r>
              <w:rPr>
                <w:rFonts w:ascii="Arial" w:hAnsi="Arial"/>
                <w:i/>
                <w:color w:val="1A5276"/>
                <w:sz w:val="18"/>
              </w:rPr>
              <w:t xml:space="preserve">  LLMs, Agents &amp; RAG</w:t>
            </w:r>
          </w:p>
          <w:p w:rsidR="007C10D4" w:rsidRDefault="00000000">
            <w:pPr>
              <w:spacing w:after="100"/>
            </w:pPr>
            <w:r>
              <w:rPr>
                <w:rFonts w:ascii="Arial" w:hAnsi="Arial"/>
                <w:color w:val="333333"/>
                <w:sz w:val="19"/>
              </w:rPr>
              <w:t>Build a Retrieval-Augmented Generation pipeline that ingests PDFs from PubMed or bioRxiv on a specific topic and enables natural-language Q&amp;A with grounded, cited answers. Immediately applicable to any pharma R&amp;D team.</w:t>
            </w:r>
          </w:p>
          <w:p w:rsidR="007C10D4" w:rsidRDefault="00000000">
            <w:pPr>
              <w:spacing w:after="120"/>
            </w:pPr>
            <w:r>
              <w:rPr>
                <w:rFonts w:ascii="Arial" w:hAnsi="Arial"/>
                <w:b/>
                <w:color w:val="555555"/>
                <w:sz w:val="18"/>
              </w:rPr>
              <w:t xml:space="preserve">  Key Tools:  </w:t>
            </w:r>
            <w:r>
              <w:rPr>
                <w:rFonts w:ascii="Arial" w:hAnsi="Arial"/>
                <w:color w:val="555555"/>
                <w:sz w:val="18"/>
              </w:rPr>
              <w:t>Claude API, LangChain / LlamaIndex, FAISS, PubMed / bioRxiv</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lastRenderedPageBreak/>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Create a gold-standard Q&amp;A set of 20 questions with verified answers drawn from your ingested papers; measure answer accuracy (exact match or LLM-judged correctness) and citation recall (fraction of cited papers that actually support the answer). Target &gt;= 80% factual accuracy and &gt;= 70% citation precision on this held-out set.</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Measure hallucination rate: for 10 questions whose answers are NOT in the knowledge base, confirm the system declines or says 'I don't know' rather than fabricating — target &lt; 20% hallucination rate on out-of-distribution queries.</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Factual accuracy (%), citation precision/recall, hallucination rate on OOD queries.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A5276"/>
              <w:left w:val="single" w:sz="8" w:space="0" w:color="1A5276"/>
              <w:bottom w:val="single" w:sz="8" w:space="0" w:color="1A5276"/>
              <w:right w:val="single" w:sz="8" w:space="0" w:color="1A5276"/>
            </w:tcBorders>
          </w:tcPr>
          <w:p w:rsidR="007C10D4" w:rsidRDefault="00000000">
            <w:pPr>
              <w:spacing w:before="140" w:after="40"/>
            </w:pPr>
            <w:r>
              <w:rPr>
                <w:rFonts w:ascii="Arial" w:hAnsi="Arial"/>
                <w:b/>
                <w:color w:val="C9A84C"/>
              </w:rPr>
              <w:t xml:space="preserve">  #25  </w:t>
            </w:r>
            <w:r>
              <w:rPr>
                <w:rFonts w:ascii="Arial" w:hAnsi="Arial"/>
                <w:b/>
                <w:color w:val="1F3864"/>
                <w:sz w:val="24"/>
              </w:rPr>
              <w:t>Automated Protein Design Report Generator</w:t>
            </w:r>
          </w:p>
          <w:p w:rsidR="007C10D4" w:rsidRDefault="00000000">
            <w:pPr>
              <w:spacing w:after="100"/>
            </w:pPr>
            <w:r>
              <w:rPr>
                <w:rFonts w:ascii="Arial" w:hAnsi="Arial"/>
                <w:i/>
                <w:color w:val="1A5276"/>
                <w:sz w:val="18"/>
              </w:rPr>
              <w:t xml:space="preserve">  LLMs, Agents &amp; RAG</w:t>
            </w:r>
          </w:p>
          <w:p w:rsidR="007C10D4" w:rsidRDefault="00000000">
            <w:pPr>
              <w:spacing w:after="100"/>
            </w:pPr>
            <w:r>
              <w:rPr>
                <w:rFonts w:ascii="Arial" w:hAnsi="Arial"/>
                <w:color w:val="333333"/>
                <w:sz w:val="19"/>
              </w:rPr>
              <w:t>Build an agent that takes a PDB file + target function description, uses Claude to search literature for engineering strategies, runs ProteinMPNN, and drafts a structured lab report summarising design rationale and top candidates.</w:t>
            </w:r>
          </w:p>
          <w:p w:rsidR="007C10D4" w:rsidRDefault="00000000">
            <w:pPr>
              <w:spacing w:after="120"/>
            </w:pPr>
            <w:r>
              <w:rPr>
                <w:rFonts w:ascii="Arial" w:hAnsi="Arial"/>
                <w:b/>
                <w:color w:val="555555"/>
                <w:sz w:val="18"/>
              </w:rPr>
              <w:t xml:space="preserve">  Key Tools:  </w:t>
            </w:r>
            <w:r>
              <w:rPr>
                <w:rFonts w:ascii="Arial" w:hAnsi="Arial"/>
                <w:color w:val="555555"/>
                <w:sz w:val="18"/>
              </w:rPr>
              <w:t>Claude API, ProteinMPNN, Python, Streamlit</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lastRenderedPageBreak/>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Run the agent on 3 published protein engineering case studies (e.g., the barnase stability study, the GFP brightness optimization, the SARS-CoV-2 binder design) and have a domain expert (or Claude used as a judge) score the generated reports on: scientific accuracy, completeness of design rationale, and actionability — target average score &gt;= 4/5.</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Blind comparison: give the same inputs to the agent and to a PhD-level manual analysis; compare which top-ranked candidates overlap. Target &gt;= 60% overlap in top 5 candidates as a measure of agent quality.</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Expert-judged report quality (1-5); overlap of agent vs. human top-candidate rankings; runtime per design run.</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A5276"/>
              <w:left w:val="single" w:sz="8" w:space="0" w:color="1A5276"/>
              <w:bottom w:val="single" w:sz="8" w:space="0" w:color="1A5276"/>
              <w:right w:val="single" w:sz="8" w:space="0" w:color="1A5276"/>
            </w:tcBorders>
          </w:tcPr>
          <w:p w:rsidR="007C10D4" w:rsidRDefault="00000000">
            <w:pPr>
              <w:spacing w:before="140" w:after="40"/>
            </w:pPr>
            <w:r>
              <w:rPr>
                <w:rFonts w:ascii="Arial" w:hAnsi="Arial"/>
                <w:b/>
                <w:color w:val="C9A84C"/>
              </w:rPr>
              <w:t xml:space="preserve">  #26  </w:t>
            </w:r>
            <w:r>
              <w:rPr>
                <w:rFonts w:ascii="Arial" w:hAnsi="Arial"/>
                <w:b/>
                <w:color w:val="1F3864"/>
                <w:sz w:val="24"/>
              </w:rPr>
              <w:t>AI-Assisted Experimental Design Assistant</w:t>
            </w:r>
          </w:p>
          <w:p w:rsidR="007C10D4" w:rsidRDefault="00000000">
            <w:pPr>
              <w:spacing w:after="100"/>
            </w:pPr>
            <w:r>
              <w:rPr>
                <w:rFonts w:ascii="Arial" w:hAnsi="Arial"/>
                <w:i/>
                <w:color w:val="1A5276"/>
                <w:sz w:val="18"/>
              </w:rPr>
              <w:t xml:space="preserve">  LLMs, Agents &amp; RAG</w:t>
            </w:r>
          </w:p>
          <w:p w:rsidR="007C10D4" w:rsidRDefault="00000000">
            <w:pPr>
              <w:spacing w:after="100"/>
            </w:pPr>
            <w:r>
              <w:rPr>
                <w:rFonts w:ascii="Arial" w:hAnsi="Arial"/>
                <w:color w:val="333333"/>
                <w:sz w:val="19"/>
              </w:rPr>
              <w:t>Build a Claude-powered chatbot that helps a biologist design a protein engineering experiment: choosing assays, suggesting controls, identifying failure modes, and generating a draft protocol.</w:t>
            </w:r>
          </w:p>
          <w:p w:rsidR="007C10D4" w:rsidRDefault="00000000">
            <w:pPr>
              <w:spacing w:after="120"/>
            </w:pPr>
            <w:r>
              <w:rPr>
                <w:rFonts w:ascii="Arial" w:hAnsi="Arial"/>
                <w:b/>
                <w:color w:val="555555"/>
                <w:sz w:val="18"/>
              </w:rPr>
              <w:t xml:space="preserve">  Key Tools:  </w:t>
            </w:r>
            <w:r>
              <w:rPr>
                <w:rFonts w:ascii="Arial" w:hAnsi="Arial"/>
                <w:color w:val="555555"/>
                <w:sz w:val="18"/>
              </w:rPr>
              <w:t>Claude API, Streamlit, Python, curated knowledge base</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 xml:space="preserve">Create 10 experimental design scenarios with known 'ground truth' best practices from published methodology papers (e.g., proper controls for a thermal shift assay, required replicates for an SPR binding </w:t>
            </w:r>
            <w:r>
              <w:rPr>
                <w:rFonts w:ascii="Arial" w:hAnsi="Arial"/>
                <w:color w:val="333333"/>
                <w:sz w:val="18"/>
              </w:rPr>
              <w:lastRenderedPageBreak/>
              <w:t>experiment); score the assistant's protocol suggestions against these standards. Target &gt;= 75% of critical controls/steps correctly included.</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User study (even informal, with 2-3 labmates): have them use the tool for a real experiment design and rate it on perceived usefulness (1-5) and scientific accuracy (1-5) — target average &gt;= 4.0 on both dimensions.</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Protocol completeness score vs. published methodology checklists; user satisfaction rating; number of critical omissions per protocol.</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A5276"/>
              <w:left w:val="single" w:sz="8" w:space="0" w:color="1A5276"/>
              <w:bottom w:val="single" w:sz="8" w:space="0" w:color="1A5276"/>
              <w:right w:val="single" w:sz="8" w:space="0" w:color="1A5276"/>
            </w:tcBorders>
          </w:tcPr>
          <w:p w:rsidR="007C10D4" w:rsidRDefault="00000000">
            <w:pPr>
              <w:spacing w:before="140" w:after="40"/>
            </w:pPr>
            <w:r>
              <w:rPr>
                <w:rFonts w:ascii="Arial" w:hAnsi="Arial"/>
                <w:b/>
                <w:color w:val="C9A84C"/>
              </w:rPr>
              <w:t xml:space="preserve">  #27  </w:t>
            </w:r>
            <w:r>
              <w:rPr>
                <w:rFonts w:ascii="Arial" w:hAnsi="Arial"/>
                <w:b/>
                <w:color w:val="1F3864"/>
                <w:sz w:val="24"/>
              </w:rPr>
              <w:t>Research Trend Dashboard with LLM Summarization</w:t>
            </w:r>
          </w:p>
          <w:p w:rsidR="007C10D4" w:rsidRDefault="00000000">
            <w:pPr>
              <w:spacing w:after="100"/>
            </w:pPr>
            <w:r>
              <w:rPr>
                <w:rFonts w:ascii="Arial" w:hAnsi="Arial"/>
                <w:i/>
                <w:color w:val="1A5276"/>
                <w:sz w:val="18"/>
              </w:rPr>
              <w:t xml:space="preserve">  LLMs, Agents &amp; RAG</w:t>
            </w:r>
          </w:p>
          <w:p w:rsidR="007C10D4" w:rsidRDefault="00000000">
            <w:pPr>
              <w:spacing w:after="100"/>
            </w:pPr>
            <w:r>
              <w:rPr>
                <w:rFonts w:ascii="Arial" w:hAnsi="Arial"/>
                <w:color w:val="333333"/>
                <w:sz w:val="19"/>
              </w:rPr>
              <w:t>Pull recent preprints from bioRxiv, cluster by topic using sentence embeddings, and use Claude to write a weekly briefing. Schedule to run weekly.</w:t>
            </w:r>
          </w:p>
          <w:p w:rsidR="007C10D4" w:rsidRDefault="00000000">
            <w:pPr>
              <w:spacing w:after="120"/>
            </w:pPr>
            <w:r>
              <w:rPr>
                <w:rFonts w:ascii="Arial" w:hAnsi="Arial"/>
                <w:b/>
                <w:color w:val="555555"/>
                <w:sz w:val="18"/>
              </w:rPr>
              <w:t xml:space="preserve">  Key Tools:  </w:t>
            </w:r>
            <w:r>
              <w:rPr>
                <w:rFonts w:ascii="Arial" w:hAnsi="Arial"/>
                <w:color w:val="555555"/>
                <w:sz w:val="18"/>
              </w:rPr>
              <w:t>bioRxiv API, sentence-transformers, Claude API, Python, cron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Validate clustering quality using a labeled dataset of 200 bioRxiv abstracts manually tagged by topic (protein design, CRISPR, single-cell, etc.); measure clustering purity and NMI against manual labels. Target clustering purity &gt;= 0.75 at k = number of ground truth topics.</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Summarization faithfulness check: for 10 generated cluster summaries, verify that all key claims are traceable to at least one paper in the cluster (no hallucinated findings). Target 0 unsupported factual claims per summary.</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Clustering purity and NMI vs. manual labels; hallucination rate in summaries; coverage of top-cited papers per cluster.</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A5276"/>
              <w:left w:val="single" w:sz="8" w:space="0" w:color="1A5276"/>
              <w:bottom w:val="single" w:sz="8" w:space="0" w:color="1A5276"/>
              <w:right w:val="single" w:sz="8" w:space="0" w:color="1A5276"/>
            </w:tcBorders>
          </w:tcPr>
          <w:p w:rsidR="007C10D4" w:rsidRDefault="00000000">
            <w:pPr>
              <w:spacing w:before="140" w:after="40"/>
            </w:pPr>
            <w:r>
              <w:rPr>
                <w:rFonts w:ascii="Arial" w:hAnsi="Arial"/>
                <w:b/>
                <w:color w:val="C9A84C"/>
              </w:rPr>
              <w:t xml:space="preserve">  #28  </w:t>
            </w:r>
            <w:r>
              <w:rPr>
                <w:rFonts w:ascii="Arial" w:hAnsi="Arial"/>
                <w:b/>
                <w:color w:val="1F3864"/>
                <w:sz w:val="24"/>
              </w:rPr>
              <w:t>Patent Landscape Analyzer for a Drug Target</w:t>
            </w:r>
          </w:p>
          <w:p w:rsidR="007C10D4" w:rsidRDefault="00000000">
            <w:pPr>
              <w:spacing w:after="100"/>
            </w:pPr>
            <w:r>
              <w:rPr>
                <w:rFonts w:ascii="Arial" w:hAnsi="Arial"/>
                <w:i/>
                <w:color w:val="1A5276"/>
                <w:sz w:val="18"/>
              </w:rPr>
              <w:t xml:space="preserve">  LLMs, Agents &amp; RAG</w:t>
            </w:r>
          </w:p>
          <w:p w:rsidR="007C10D4" w:rsidRDefault="00000000">
            <w:pPr>
              <w:spacing w:after="100"/>
            </w:pPr>
            <w:r>
              <w:rPr>
                <w:rFonts w:ascii="Arial" w:hAnsi="Arial"/>
                <w:color w:val="333333"/>
                <w:sz w:val="19"/>
              </w:rPr>
              <w:t>Use the Claude API to analyse patent abstracts around a given drug target and produce a structured competitive landscape: key players, claim types, whitespace opportunities.</w:t>
            </w:r>
          </w:p>
          <w:p w:rsidR="007C10D4" w:rsidRDefault="00000000">
            <w:pPr>
              <w:spacing w:after="120"/>
            </w:pPr>
            <w:r>
              <w:rPr>
                <w:rFonts w:ascii="Arial" w:hAnsi="Arial"/>
                <w:b/>
                <w:color w:val="555555"/>
                <w:sz w:val="18"/>
              </w:rPr>
              <w:t xml:space="preserve">  Key Tools:  </w:t>
            </w:r>
            <w:r>
              <w:rPr>
                <w:rFonts w:ascii="Arial" w:hAnsi="Arial"/>
                <w:color w:val="555555"/>
                <w:sz w:val="18"/>
              </w:rPr>
              <w:t>Claude API, Espacenet / Google Patents, Python, Pandas</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Choose a well-characterised target (e.g., PD-1/PD-L1) where published commercial patent landscapes exist (e.g., from Cortellis or published academic analyses); compare your tool's identified top assignees, claim categories, and filing trends against the published landscape. Target &gt;= 80% overlap in top-10 assignees and claim categories.</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Accuracy check: manually verify 20 randomly sampled patent-to-category assignments made by Claude; target &gt;= 85% classification accuracy vs. manual expert review.</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Assignee recall vs. published landscape; classification accuracy of claim types; coverage of key filing years.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45A32"/>
              <w:left w:val="single" w:sz="8" w:space="0" w:color="145A32"/>
              <w:bottom w:val="single" w:sz="8" w:space="0" w:color="145A32"/>
              <w:right w:val="single" w:sz="8" w:space="0" w:color="145A32"/>
            </w:tcBorders>
          </w:tcPr>
          <w:p w:rsidR="007C10D4" w:rsidRDefault="00000000">
            <w:pPr>
              <w:spacing w:before="140" w:after="40"/>
            </w:pPr>
            <w:r>
              <w:rPr>
                <w:rFonts w:ascii="Arial" w:hAnsi="Arial"/>
                <w:b/>
                <w:color w:val="C9A84C"/>
              </w:rPr>
              <w:t xml:space="preserve">  #29  </w:t>
            </w:r>
            <w:r>
              <w:rPr>
                <w:rFonts w:ascii="Arial" w:hAnsi="Arial"/>
                <w:b/>
                <w:color w:val="1F3864"/>
                <w:sz w:val="24"/>
              </w:rPr>
              <w:t>Variant Effect Prediction with ESM-1v</w:t>
            </w:r>
          </w:p>
          <w:p w:rsidR="007C10D4" w:rsidRDefault="00000000">
            <w:pPr>
              <w:spacing w:after="100"/>
            </w:pPr>
            <w:r>
              <w:rPr>
                <w:rFonts w:ascii="Arial" w:hAnsi="Arial"/>
                <w:i/>
                <w:color w:val="145A32"/>
                <w:sz w:val="18"/>
              </w:rPr>
              <w:t xml:space="preserve">  Genomics &amp; Omics AI</w:t>
            </w:r>
          </w:p>
          <w:p w:rsidR="007C10D4" w:rsidRDefault="00000000">
            <w:pPr>
              <w:spacing w:after="100"/>
            </w:pPr>
            <w:r>
              <w:rPr>
                <w:rFonts w:ascii="Arial" w:hAnsi="Arial"/>
                <w:color w:val="333333"/>
                <w:sz w:val="19"/>
              </w:rPr>
              <w:t>Build a pipeline using Meta's ESM-1v to score the pathogenicity of missense variants from a ClinVar or gnomAD dataset. Compare ESM-1v predictions to clinical labels and calculate AUROC.</w:t>
            </w:r>
          </w:p>
          <w:p w:rsidR="007C10D4" w:rsidRDefault="00000000">
            <w:pPr>
              <w:spacing w:after="120"/>
            </w:pPr>
            <w:r>
              <w:rPr>
                <w:rFonts w:ascii="Arial" w:hAnsi="Arial"/>
                <w:b/>
                <w:color w:val="555555"/>
                <w:sz w:val="18"/>
              </w:rPr>
              <w:t xml:space="preserve">  Key Tools:  </w:t>
            </w:r>
            <w:r>
              <w:rPr>
                <w:rFonts w:ascii="Arial" w:hAnsi="Arial"/>
                <w:color w:val="555555"/>
                <w:sz w:val="18"/>
              </w:rPr>
              <w:t>ESM-1v, ClinVar / gnomAD, scikit-learn, Python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ESM-1v zero-shot variant effect results from Meier et al. 2021 (NeurIPS): evaluate on the deep mutational scanning benchmarks used in their paper (BLAT, Cas9, etc.) and confirm Spearman rho &gt;= 0.44 on held-out assays, matching their reported performance vs. EVmutation baseline.</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Run on the ProteinGym clinical variant benchmark (ClinVar pathogenic vs. benign missense variants for well-studied disease genes like BRCA1, TP53); target AUROC &gt;= 0.72, consistent with ESM-1v's published ClinVar performance.</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Spearman rho on DMS assays (ProteinGym); AUROC on ClinVar pathogenic/benign classification.</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45A32"/>
              <w:left w:val="single" w:sz="8" w:space="0" w:color="145A32"/>
              <w:bottom w:val="single" w:sz="8" w:space="0" w:color="145A32"/>
              <w:right w:val="single" w:sz="8" w:space="0" w:color="145A32"/>
            </w:tcBorders>
          </w:tcPr>
          <w:p w:rsidR="007C10D4" w:rsidRDefault="00000000">
            <w:pPr>
              <w:spacing w:before="140" w:after="40"/>
            </w:pPr>
            <w:r>
              <w:rPr>
                <w:rFonts w:ascii="Arial" w:hAnsi="Arial"/>
                <w:b/>
                <w:color w:val="C9A84C"/>
              </w:rPr>
              <w:t xml:space="preserve">  #30  </w:t>
            </w:r>
            <w:r>
              <w:rPr>
                <w:rFonts w:ascii="Arial" w:hAnsi="Arial"/>
                <w:b/>
                <w:color w:val="1F3864"/>
                <w:sz w:val="24"/>
              </w:rPr>
              <w:t>scRNA-seq Cell Type Annotation with AI</w:t>
            </w:r>
          </w:p>
          <w:p w:rsidR="007C10D4" w:rsidRDefault="00000000">
            <w:pPr>
              <w:spacing w:after="100"/>
            </w:pPr>
            <w:r>
              <w:rPr>
                <w:rFonts w:ascii="Arial" w:hAnsi="Arial"/>
                <w:i/>
                <w:color w:val="145A32"/>
                <w:sz w:val="18"/>
              </w:rPr>
              <w:t xml:space="preserve">  Genomics &amp; Omics AI</w:t>
            </w:r>
          </w:p>
          <w:p w:rsidR="007C10D4" w:rsidRDefault="00000000">
            <w:pPr>
              <w:spacing w:after="100"/>
            </w:pPr>
            <w:r>
              <w:rPr>
                <w:rFonts w:ascii="Arial" w:hAnsi="Arial"/>
                <w:color w:val="333333"/>
                <w:sz w:val="19"/>
              </w:rPr>
              <w:t>Take a public single-cell RNA-seq dataset, perform standard preprocessing with Scanpy, and use a pretrained model (scGPT or CellTypist) to annotate cell types automatically. Compare to manual annotations and document the full workflow.</w:t>
            </w:r>
          </w:p>
          <w:p w:rsidR="007C10D4" w:rsidRDefault="00000000">
            <w:pPr>
              <w:spacing w:after="120"/>
            </w:pPr>
            <w:r>
              <w:rPr>
                <w:rFonts w:ascii="Arial" w:hAnsi="Arial"/>
                <w:b/>
                <w:color w:val="555555"/>
                <w:sz w:val="18"/>
              </w:rPr>
              <w:t xml:space="preserve">  Key Tools:  </w:t>
            </w:r>
            <w:r>
              <w:rPr>
                <w:rFonts w:ascii="Arial" w:hAnsi="Arial"/>
                <w:color w:val="555555"/>
                <w:sz w:val="18"/>
              </w:rPr>
              <w:t>Scanpy, scGPT / CellTypist, Human Cell Atlas data, Python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CellTypist benchmark from Dominguez Conde et al. 2022 (Science): annotate the published 20-tissue immune atlas (available on CellTypist portal) and confirm macro-F1 &gt;= 0.87 on major immune lineages (T cells, B cells, myeloid), matching their reported cross-tissue performance.</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Run scGPT zero-shot annotation on the same dataset and compare to CellTypist; produce a confusion matrix and calculate per-cell-type F1. Any cell type with &lt; 0.70 F1 should be flagged for manual review — document these edge cases as learnings.</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Macro-F1 and per-cell-type F1 vs. expert annotations; confusion matrix; runtime comparison between CellTypist and scGPT.</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45A32"/>
              <w:left w:val="single" w:sz="8" w:space="0" w:color="145A32"/>
              <w:bottom w:val="single" w:sz="8" w:space="0" w:color="145A32"/>
              <w:right w:val="single" w:sz="8" w:space="0" w:color="145A32"/>
            </w:tcBorders>
          </w:tcPr>
          <w:p w:rsidR="007C10D4" w:rsidRDefault="00000000">
            <w:pPr>
              <w:spacing w:before="140" w:after="40"/>
            </w:pPr>
            <w:r>
              <w:rPr>
                <w:rFonts w:ascii="Arial" w:hAnsi="Arial"/>
                <w:b/>
                <w:color w:val="C9A84C"/>
              </w:rPr>
              <w:lastRenderedPageBreak/>
              <w:t xml:space="preserve">  #31  </w:t>
            </w:r>
            <w:r>
              <w:rPr>
                <w:rFonts w:ascii="Arial" w:hAnsi="Arial"/>
                <w:b/>
                <w:color w:val="1F3864"/>
                <w:sz w:val="24"/>
              </w:rPr>
              <w:t>DNA Foundation Models for Regulatory Genomics</w:t>
            </w:r>
          </w:p>
          <w:p w:rsidR="007C10D4" w:rsidRDefault="00000000">
            <w:pPr>
              <w:spacing w:after="100"/>
            </w:pPr>
            <w:r>
              <w:rPr>
                <w:rFonts w:ascii="Arial" w:hAnsi="Arial"/>
                <w:i/>
                <w:color w:val="145A32"/>
                <w:sz w:val="18"/>
              </w:rPr>
              <w:t xml:space="preserve">  Genomics &amp; Omics AI</w:t>
            </w:r>
          </w:p>
          <w:p w:rsidR="007C10D4" w:rsidRDefault="00000000">
            <w:pPr>
              <w:spacing w:after="100"/>
            </w:pPr>
            <w:r>
              <w:rPr>
                <w:rFonts w:ascii="Arial" w:hAnsi="Arial"/>
                <w:color w:val="333333"/>
                <w:sz w:val="19"/>
              </w:rPr>
              <w:t>Use Enformer to predict gene expression and chromatin accessibility from DNA sequence, and Nucleotide Transformer / HyenaDNA for variant effect scoring on promoter and enhancer sequences. Wrap into a variant prioritisation tool.</w:t>
            </w:r>
          </w:p>
          <w:p w:rsidR="007C10D4" w:rsidRDefault="00000000">
            <w:pPr>
              <w:spacing w:after="120"/>
            </w:pPr>
            <w:r>
              <w:rPr>
                <w:rFonts w:ascii="Arial" w:hAnsi="Arial"/>
                <w:b/>
                <w:color w:val="555555"/>
                <w:sz w:val="18"/>
              </w:rPr>
              <w:t xml:space="preserve">  Key Tools:  </w:t>
            </w:r>
            <w:r>
              <w:rPr>
                <w:rFonts w:ascii="Arial" w:hAnsi="Arial"/>
                <w:color w:val="555555"/>
                <w:sz w:val="18"/>
              </w:rPr>
              <w:t>Enformer, Nucleotide Transformer, HyenaDNA, Evo (Arc Institute)</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Enformer correlation benchmarks from Avsec et al. 2021 (Nature Methods): predict gene expression from 200 kb sequence windows on held-out chromosomes (chr8 and chr9 as per their protocol) and confirm Pearson r &gt;= 0.85 on CAGE tracks, matching their published performance.</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Variant scoring validation: run Nucleotide Transformer on eQTL variants from GTEx (top vs. bottom 10% effect size eQTLs per gene) and confirm AUROC &gt;= 0.65 for distinguishing high- vs. low-effect variants, as reported in the Nucleotide Transformer paper (Dalla-Torre et al. 2023).</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Pearson r on CAGE/ATAC-seq tracks (Enformer); AUROC on eQTL effect-size stratification (Nucleotide Transformer).</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145A32"/>
              <w:left w:val="single" w:sz="8" w:space="0" w:color="145A32"/>
              <w:bottom w:val="single" w:sz="8" w:space="0" w:color="145A32"/>
              <w:right w:val="single" w:sz="8" w:space="0" w:color="145A32"/>
            </w:tcBorders>
          </w:tcPr>
          <w:p w:rsidR="007C10D4" w:rsidRDefault="00000000">
            <w:pPr>
              <w:spacing w:before="140" w:after="40"/>
            </w:pPr>
            <w:r>
              <w:rPr>
                <w:rFonts w:ascii="Arial" w:hAnsi="Arial"/>
                <w:b/>
                <w:color w:val="C9A84C"/>
              </w:rPr>
              <w:t xml:space="preserve">  #32  </w:t>
            </w:r>
            <w:r>
              <w:rPr>
                <w:rFonts w:ascii="Arial" w:hAnsi="Arial"/>
                <w:b/>
                <w:color w:val="1F3864"/>
                <w:sz w:val="24"/>
              </w:rPr>
              <w:t>Evo + EvoProtGrad: Directed Evolution in Sequence Space</w:t>
            </w:r>
          </w:p>
          <w:p w:rsidR="007C10D4" w:rsidRDefault="00000000">
            <w:pPr>
              <w:spacing w:after="100"/>
            </w:pPr>
            <w:r>
              <w:rPr>
                <w:rFonts w:ascii="Arial" w:hAnsi="Arial"/>
                <w:i/>
                <w:color w:val="145A32"/>
                <w:sz w:val="18"/>
              </w:rPr>
              <w:t xml:space="preserve">  Genomics &amp; Omics AI</w:t>
            </w:r>
          </w:p>
          <w:p w:rsidR="007C10D4" w:rsidRDefault="00000000">
            <w:pPr>
              <w:spacing w:after="100"/>
            </w:pPr>
            <w:r>
              <w:rPr>
                <w:rFonts w:ascii="Arial" w:hAnsi="Arial"/>
                <w:color w:val="333333"/>
                <w:sz w:val="19"/>
              </w:rPr>
              <w:t xml:space="preserve">Combine Evo (7B genomic foundation model) and EvoProtGrad (gradient-guided directed evolution) to simulate a computational directed evolution campaign starting from a wild-type enzyme. Track the campaign </w:t>
            </w:r>
            <w:r>
              <w:rPr>
                <w:rFonts w:ascii="Arial" w:hAnsi="Arial"/>
                <w:color w:val="333333"/>
                <w:sz w:val="19"/>
              </w:rPr>
              <w:lastRenderedPageBreak/>
              <w:t>as a git-versioned experiment log.</w:t>
            </w:r>
          </w:p>
          <w:p w:rsidR="007C10D4" w:rsidRDefault="00000000">
            <w:pPr>
              <w:spacing w:after="120"/>
            </w:pPr>
            <w:r>
              <w:rPr>
                <w:rFonts w:ascii="Arial" w:hAnsi="Arial"/>
                <w:b/>
                <w:color w:val="555555"/>
                <w:sz w:val="18"/>
              </w:rPr>
              <w:t xml:space="preserve">  Key Tools:  </w:t>
            </w:r>
            <w:r>
              <w:rPr>
                <w:rFonts w:ascii="Arial" w:hAnsi="Arial"/>
                <w:color w:val="555555"/>
                <w:sz w:val="18"/>
              </w:rPr>
              <w:t>Evo (Arc Institute), EvoProtGrad, ESM-2, MLflow, Python</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Reproduce EvoProtGrad benchmark results from Gruver et al. 2024: run gradient-guided evolution on the GFP brightness and AAV capsid fitness landscapes and confirm mean fitness gain per optimization step matches their published learning curves (Figure 3) within 10% relative error.</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Use Evo's sequence likelihood as an independent scorer: for your top 20 EvoProtGrad-proposed variants, rank by Evo log-likelihood and confirm that higher Evo-scored sequences are enriched in experimentally validated high-fitness variants from the published DMS dataset (Spearman rho &gt; 0.40).</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Mean fitness gain vs. EvoProtGrad published curves; Spearman rho between Evo likelihood and experimental fitness.</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tbl>
      <w:tblPr>
        <w:tblStyle w:val="TableGrid"/>
        <w:tblW w:w="0" w:type="auto"/>
        <w:jc w:val="center"/>
        <w:tblLook w:val="04A0" w:firstRow="1" w:lastRow="0" w:firstColumn="1" w:lastColumn="0" w:noHBand="0" w:noVBand="1"/>
      </w:tblPr>
      <w:tblGrid>
        <w:gridCol w:w="9360"/>
      </w:tblGrid>
      <w:tr w:rsidR="007C10D4">
        <w:trPr>
          <w:jc w:val="center"/>
        </w:trPr>
        <w:tc>
          <w:tcPr>
            <w:tcW w:w="9360" w:type="dxa"/>
            <w:tcBorders>
              <w:top w:val="single" w:sz="8" w:space="0" w:color="4A235A"/>
              <w:left w:val="single" w:sz="8" w:space="0" w:color="4A235A"/>
              <w:bottom w:val="single" w:sz="8" w:space="0" w:color="4A235A"/>
              <w:right w:val="single" w:sz="8" w:space="0" w:color="4A235A"/>
            </w:tcBorders>
          </w:tcPr>
          <w:p w:rsidR="007C10D4" w:rsidRDefault="00000000">
            <w:pPr>
              <w:spacing w:before="140" w:after="40"/>
            </w:pPr>
            <w:r>
              <w:rPr>
                <w:rFonts w:ascii="Arial" w:hAnsi="Arial"/>
                <w:b/>
                <w:color w:val="C9A84C"/>
              </w:rPr>
              <w:t xml:space="preserve">  #33  </w:t>
            </w:r>
            <w:r>
              <w:rPr>
                <w:rFonts w:ascii="Arial" w:hAnsi="Arial"/>
                <w:b/>
                <w:color w:val="1F3864"/>
                <w:sz w:val="24"/>
              </w:rPr>
              <w:t>ML Experiment Tracker + GitHub Actions CI/CD for Biotech Pipelines</w:t>
            </w:r>
          </w:p>
          <w:p w:rsidR="007C10D4" w:rsidRDefault="00000000">
            <w:pPr>
              <w:spacing w:after="100"/>
            </w:pPr>
            <w:r>
              <w:rPr>
                <w:rFonts w:ascii="Arial" w:hAnsi="Arial"/>
                <w:i/>
                <w:color w:val="4A235A"/>
                <w:sz w:val="18"/>
              </w:rPr>
              <w:t xml:space="preserve">  R&amp;D Infrastructure &amp; MLOps</w:t>
            </w:r>
          </w:p>
          <w:p w:rsidR="007C10D4" w:rsidRDefault="00000000">
            <w:pPr>
              <w:spacing w:after="100"/>
            </w:pPr>
            <w:r>
              <w:rPr>
                <w:rFonts w:ascii="Arial" w:hAnsi="Arial"/>
                <w:color w:val="333333"/>
                <w:sz w:val="19"/>
              </w:rPr>
              <w:t>Build a lightweight experiment tracking system wired into the ProteinMPNN / ESMFold pipeline and a full GitHub Actions CI/CD workflow: automated linting, unit tests, and container build. Branch protection rules and PR template included.</w:t>
            </w:r>
          </w:p>
          <w:p w:rsidR="007C10D4" w:rsidRDefault="00000000">
            <w:pPr>
              <w:spacing w:after="120"/>
            </w:pPr>
            <w:r>
              <w:rPr>
                <w:rFonts w:ascii="Arial" w:hAnsi="Arial"/>
                <w:b/>
                <w:color w:val="555555"/>
                <w:sz w:val="18"/>
              </w:rPr>
              <w:t xml:space="preserve">  Key Tools:  </w:t>
            </w:r>
            <w:r>
              <w:rPr>
                <w:rFonts w:ascii="Arial" w:hAnsi="Arial"/>
                <w:color w:val="555555"/>
                <w:sz w:val="18"/>
              </w:rPr>
              <w:t>MLflow / Weights &amp; Biases, GitHub Actions, Docker, pytest, Black / Ruff</w:t>
            </w:r>
          </w:p>
          <w:p w:rsidR="007C10D4" w:rsidRDefault="007C10D4">
            <w:pPr>
              <w:pBdr>
                <w:bottom w:val="single" w:sz="4" w:space="1" w:color="DDDDDD"/>
              </w:pBdr>
              <w:spacing w:before="100" w:after="80"/>
            </w:pPr>
          </w:p>
          <w:p w:rsidR="007C10D4" w:rsidRDefault="00000000">
            <w:pPr>
              <w:spacing w:before="20" w:after="20"/>
            </w:pPr>
            <w:r>
              <w:rPr>
                <w:rFonts w:ascii="Arial" w:hAnsi="Arial"/>
                <w:b/>
                <w:color w:val="2E5FA3"/>
                <w:sz w:val="18"/>
              </w:rPr>
              <w:t xml:space="preserve">  Status: </w:t>
            </w:r>
            <w:r>
              <w:rPr>
                <w:rFonts w:ascii="Arial" w:hAnsi="Arial"/>
                <w:color w:val="888888"/>
                <w:sz w:val="18"/>
              </w:rPr>
              <w:t>Not Started  |  In Progress  |  Complete  |  Paused</w:t>
            </w:r>
          </w:p>
          <w:p w:rsidR="007C10D4" w:rsidRDefault="00000000">
            <w:pPr>
              <w:spacing w:before="20" w:after="20"/>
            </w:pPr>
            <w:r>
              <w:rPr>
                <w:rFonts w:ascii="Arial" w:hAnsi="Arial"/>
                <w:b/>
                <w:color w:val="2E5FA3"/>
                <w:sz w:val="18"/>
              </w:rPr>
              <w:lastRenderedPageBreak/>
              <w:t xml:space="preserve">  Start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End Date: </w:t>
            </w:r>
            <w:r>
              <w:rPr>
                <w:rFonts w:ascii="Arial" w:hAnsi="Arial"/>
                <w:color w:val="CCCCCC"/>
                <w:sz w:val="18"/>
              </w:rPr>
              <w:t>________________________________</w:t>
            </w:r>
          </w:p>
          <w:p w:rsidR="007C10D4" w:rsidRDefault="00000000">
            <w:pPr>
              <w:spacing w:before="20" w:after="20"/>
            </w:pPr>
            <w:r>
              <w:rPr>
                <w:rFonts w:ascii="Arial" w:hAnsi="Arial"/>
                <w:b/>
                <w:color w:val="2E5FA3"/>
                <w:sz w:val="18"/>
              </w:rPr>
              <w:t xml:space="preserve">  Duration: </w:t>
            </w:r>
            <w:r>
              <w:rPr>
                <w:rFonts w:ascii="Arial" w:hAnsi="Arial"/>
                <w:color w:val="AAAAAA"/>
                <w:sz w:val="18"/>
              </w:rPr>
              <w:t>e.g. 8 days / ~30 hours</w:t>
            </w:r>
          </w:p>
          <w:p w:rsidR="007C10D4" w:rsidRDefault="00000000">
            <w:pPr>
              <w:spacing w:before="20" w:after="20"/>
            </w:pPr>
            <w:r>
              <w:rPr>
                <w:rFonts w:ascii="Arial" w:hAnsi="Arial"/>
                <w:b/>
                <w:color w:val="2E5FA3"/>
                <w:sz w:val="18"/>
              </w:rPr>
              <w:t xml:space="preserve">  GitHub Repo: </w:t>
            </w:r>
            <w:r>
              <w:rPr>
                <w:rFonts w:ascii="Arial" w:hAnsi="Arial"/>
                <w:color w:val="AAAAAA"/>
                <w:sz w:val="18"/>
              </w:rPr>
              <w:t>https://github.com/pratyusha-m/...</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145A32"/>
                <w:sz w:val="18"/>
              </w:rPr>
              <w:t xml:space="preserve">  Success Criteria  </w:t>
            </w:r>
            <w:r>
              <w:rPr>
                <w:rFonts w:ascii="Arial" w:hAnsi="Arial"/>
                <w:i/>
                <w:color w:val="AAAAAA"/>
                <w:sz w:val="17"/>
              </w:rPr>
              <w:t>(define before you start — what does done-well look like?)</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8B4513"/>
                <w:sz w:val="18"/>
              </w:rPr>
              <w:t xml:space="preserve">  Validation Approach  </w:t>
            </w:r>
            <w:r>
              <w:rPr>
                <w:rFonts w:ascii="Arial" w:hAnsi="Arial"/>
                <w:i/>
                <w:color w:val="AAAAAA"/>
                <w:sz w:val="17"/>
              </w:rPr>
              <w:t>(published benchmarks and metrics to verify your results)</w:t>
            </w:r>
          </w:p>
          <w:p w:rsidR="007C10D4" w:rsidRDefault="00000000">
            <w:pPr>
              <w:spacing w:before="40" w:after="60"/>
              <w:ind w:left="240"/>
            </w:pPr>
            <w:r>
              <w:rPr>
                <w:rFonts w:ascii="Arial" w:hAnsi="Arial"/>
                <w:b/>
                <w:color w:val="8B4513"/>
                <w:sz w:val="18"/>
              </w:rPr>
              <w:t xml:space="preserve">  1.  </w:t>
            </w:r>
            <w:r>
              <w:rPr>
                <w:rFonts w:ascii="Arial" w:hAnsi="Arial"/>
                <w:color w:val="333333"/>
                <w:sz w:val="18"/>
              </w:rPr>
              <w:t>Reproducibility audit: re-run any one of the other 20 projects using ONLY the tracked parameters and git commit hash from MLflow/W&amp;B; confirm you can reproduce results within 1% numerical tolerance with zero manual intervention — this is the gold standard for computational reproducibility.</w:t>
            </w:r>
          </w:p>
          <w:p w:rsidR="007C10D4" w:rsidRDefault="00000000">
            <w:pPr>
              <w:spacing w:before="40" w:after="60"/>
              <w:ind w:left="240"/>
            </w:pPr>
            <w:r>
              <w:rPr>
                <w:rFonts w:ascii="Arial" w:hAnsi="Arial"/>
                <w:b/>
                <w:color w:val="8B4513"/>
                <w:sz w:val="18"/>
              </w:rPr>
              <w:t xml:space="preserve">  2.  </w:t>
            </w:r>
            <w:r>
              <w:rPr>
                <w:rFonts w:ascii="Arial" w:hAnsi="Arial"/>
                <w:color w:val="333333"/>
                <w:sz w:val="18"/>
              </w:rPr>
              <w:t>CI/CD completeness check: confirm the GitHub Actions workflow catches &gt;= 3 intentionally introduced bugs (a linting error, a failing unit test, a broken Docker build); all three should fail the pipeline before merge and pass cleanly after the fix.</w:t>
            </w:r>
          </w:p>
          <w:p w:rsidR="007C10D4" w:rsidRDefault="00000000">
            <w:pPr>
              <w:spacing w:before="40" w:after="60"/>
              <w:ind w:left="240"/>
            </w:pPr>
            <w:r>
              <w:rPr>
                <w:rFonts w:ascii="Arial" w:hAnsi="Arial"/>
                <w:b/>
                <w:color w:val="8B4513"/>
                <w:sz w:val="18"/>
              </w:rPr>
              <w:t xml:space="preserve">  3.  </w:t>
            </w:r>
            <w:r>
              <w:rPr>
                <w:rFonts w:ascii="Arial" w:hAnsi="Arial"/>
                <w:color w:val="333333"/>
                <w:sz w:val="18"/>
              </w:rPr>
              <w:t>Benchmark metric: Reproducibility rate (% of runs re-runnable from hash); CI pipeline pass/fail reliability; time-to-detect bug in PR workflow.</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4A235A"/>
                <w:sz w:val="18"/>
              </w:rPr>
              <w:t xml:space="preserve">  Learnings &amp; Takeaways  </w:t>
            </w:r>
            <w:r>
              <w:rPr>
                <w:rFonts w:ascii="Arial" w:hAnsi="Arial"/>
                <w:i/>
                <w:color w:val="AAAAAA"/>
                <w:sz w:val="17"/>
              </w:rPr>
              <w:t>(fill in after completing the project)</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pBdr>
                <w:bottom w:val="single" w:sz="4" w:space="1" w:color="DDDDDD"/>
              </w:pBdr>
              <w:spacing w:before="100" w:after="80"/>
            </w:pPr>
          </w:p>
          <w:p w:rsidR="007C10D4" w:rsidRDefault="00000000">
            <w:pPr>
              <w:spacing w:before="100" w:after="40"/>
            </w:pPr>
            <w:r>
              <w:rPr>
                <w:rFonts w:ascii="Arial" w:hAnsi="Arial"/>
                <w:b/>
                <w:color w:val="7D6608"/>
                <w:sz w:val="18"/>
              </w:rPr>
              <w:t xml:space="preserve">  Hiring-Manager Talking Points  </w:t>
            </w:r>
            <w:r>
              <w:rPr>
                <w:rFonts w:ascii="Arial" w:hAnsi="Arial"/>
                <w:i/>
                <w:color w:val="AAAAAA"/>
                <w:sz w:val="17"/>
              </w:rPr>
              <w:t>(2-3 bullets for interviews)</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000000">
            <w:pPr>
              <w:spacing w:before="20" w:after="20"/>
            </w:pPr>
            <w:r>
              <w:rPr>
                <w:rFonts w:ascii="Arial" w:hAnsi="Arial"/>
                <w:color w:val="CCCCCC"/>
                <w:sz w:val="17"/>
              </w:rPr>
              <w:t xml:space="preserve">  ____________________________________________________________________</w:t>
            </w:r>
          </w:p>
          <w:p w:rsidR="007C10D4" w:rsidRDefault="007C10D4">
            <w:pPr>
              <w:spacing w:before="80" w:after="40"/>
            </w:pPr>
          </w:p>
        </w:tc>
      </w:tr>
    </w:tbl>
    <w:tbl>
      <w:tblPr>
        <w:tblW w:w="0" w:type="auto"/>
        <w:tblLook w:val="04A0" w:firstRow="1" w:lastRow="0" w:firstColumn="1" w:lastColumn="0" w:noHBand="0" w:noVBand="1"/>
      </w:tblPr>
      <w:tblGrid>
        <w:gridCol w:w="9360"/>
      </w:tblGrid>
      <w:tr w:rsidR="007C10D4">
        <w:tc>
          <w:tcPr>
            <w:tcW w:w="9360" w:type="dxa"/>
          </w:tcPr>
          <w:p w:rsidR="007C10D4" w:rsidRDefault="007C10D4"/>
        </w:tc>
      </w:tr>
    </w:tbl>
    <w:p w:rsidR="007C10D4" w:rsidRDefault="007C10D4"/>
    <w:p w:rsidR="007C10D4" w:rsidRDefault="007C10D4"/>
    <w:p w:rsidR="007C10D4" w:rsidRDefault="00000000">
      <w:pPr>
        <w:spacing w:before="200" w:after="120"/>
      </w:pPr>
      <w:r>
        <w:rPr>
          <w:rFonts w:ascii="Arial" w:hAnsi="Arial"/>
          <w:b/>
          <w:color w:val="1F3864"/>
          <w:sz w:val="32"/>
        </w:rPr>
        <w:t>Portfolio Summary Dashboard</w:t>
      </w:r>
    </w:p>
    <w:p w:rsidR="007C10D4" w:rsidRDefault="00000000">
      <w:r>
        <w:rPr>
          <w:rFonts w:ascii="Arial" w:hAnsi="Arial"/>
          <w:color w:val="555555"/>
          <w:sz w:val="20"/>
        </w:rPr>
        <w:t>Quick overview of all 24 projects. Update Status, Duration, and Validation Result as you complete each one.</w:t>
      </w:r>
    </w:p>
    <w:tbl>
      <w:tblPr>
        <w:tblStyle w:val="TableGrid"/>
        <w:tblW w:w="0" w:type="auto"/>
        <w:jc w:val="center"/>
        <w:tblLook w:val="04A0" w:firstRow="1" w:lastRow="0" w:firstColumn="1" w:lastColumn="0" w:noHBand="0" w:noVBand="1"/>
      </w:tblPr>
      <w:tblGrid>
        <w:gridCol w:w="432"/>
        <w:gridCol w:w="3168"/>
        <w:gridCol w:w="1872"/>
        <w:gridCol w:w="1080"/>
        <w:gridCol w:w="915"/>
        <w:gridCol w:w="1080"/>
        <w:gridCol w:w="792"/>
      </w:tblGrid>
      <w:tr w:rsidR="007C10D4">
        <w:trPr>
          <w:jc w:val="center"/>
        </w:trPr>
        <w:tc>
          <w:tcPr>
            <w:tcW w:w="432" w:type="dxa"/>
            <w:tcBorders>
              <w:top w:val="single" w:sz="4" w:space="0" w:color="FFFFFF"/>
              <w:left w:val="single" w:sz="4" w:space="0" w:color="FFFFFF"/>
              <w:bottom w:val="single" w:sz="4" w:space="0" w:color="FFFFFF"/>
              <w:right w:val="single" w:sz="4" w:space="0" w:color="FFFFFF"/>
            </w:tcBorders>
            <w:shd w:val="clear" w:color="auto" w:fill="1F3864"/>
          </w:tcPr>
          <w:p w:rsidR="007C10D4" w:rsidRDefault="00000000">
            <w:pPr>
              <w:spacing w:before="60" w:after="60"/>
              <w:jc w:val="center"/>
            </w:pPr>
            <w:r>
              <w:rPr>
                <w:rFonts w:ascii="Arial" w:hAnsi="Arial"/>
                <w:b/>
                <w:color w:val="FFFFFF"/>
                <w:sz w:val="17"/>
              </w:rPr>
              <w:t>#</w:t>
            </w:r>
          </w:p>
        </w:tc>
        <w:tc>
          <w:tcPr>
            <w:tcW w:w="3168" w:type="dxa"/>
            <w:tcBorders>
              <w:top w:val="single" w:sz="4" w:space="0" w:color="FFFFFF"/>
              <w:left w:val="single" w:sz="4" w:space="0" w:color="FFFFFF"/>
              <w:bottom w:val="single" w:sz="4" w:space="0" w:color="FFFFFF"/>
              <w:right w:val="single" w:sz="4" w:space="0" w:color="FFFFFF"/>
            </w:tcBorders>
            <w:shd w:val="clear" w:color="auto" w:fill="1F3864"/>
          </w:tcPr>
          <w:p w:rsidR="007C10D4" w:rsidRDefault="00000000">
            <w:pPr>
              <w:spacing w:before="60" w:after="60"/>
              <w:jc w:val="center"/>
            </w:pPr>
            <w:r>
              <w:rPr>
                <w:rFonts w:ascii="Arial" w:hAnsi="Arial"/>
                <w:b/>
                <w:color w:val="FFFFFF"/>
                <w:sz w:val="17"/>
              </w:rPr>
              <w:t>Project Title</w:t>
            </w:r>
          </w:p>
        </w:tc>
        <w:tc>
          <w:tcPr>
            <w:tcW w:w="1872" w:type="dxa"/>
            <w:tcBorders>
              <w:top w:val="single" w:sz="4" w:space="0" w:color="FFFFFF"/>
              <w:left w:val="single" w:sz="4" w:space="0" w:color="FFFFFF"/>
              <w:bottom w:val="single" w:sz="4" w:space="0" w:color="FFFFFF"/>
              <w:right w:val="single" w:sz="4" w:space="0" w:color="FFFFFF"/>
            </w:tcBorders>
            <w:shd w:val="clear" w:color="auto" w:fill="1F3864"/>
          </w:tcPr>
          <w:p w:rsidR="007C10D4" w:rsidRDefault="00000000">
            <w:pPr>
              <w:spacing w:before="60" w:after="60"/>
              <w:jc w:val="center"/>
            </w:pPr>
            <w:r>
              <w:rPr>
                <w:rFonts w:ascii="Arial" w:hAnsi="Arial"/>
                <w:b/>
                <w:color w:val="FFFFFF"/>
                <w:sz w:val="17"/>
              </w:rPr>
              <w:t>Category</w:t>
            </w:r>
          </w:p>
        </w:tc>
        <w:tc>
          <w:tcPr>
            <w:tcW w:w="1080" w:type="dxa"/>
            <w:tcBorders>
              <w:top w:val="single" w:sz="4" w:space="0" w:color="FFFFFF"/>
              <w:left w:val="single" w:sz="4" w:space="0" w:color="FFFFFF"/>
              <w:bottom w:val="single" w:sz="4" w:space="0" w:color="FFFFFF"/>
              <w:right w:val="single" w:sz="4" w:space="0" w:color="FFFFFF"/>
            </w:tcBorders>
            <w:shd w:val="clear" w:color="auto" w:fill="1F3864"/>
          </w:tcPr>
          <w:p w:rsidR="007C10D4" w:rsidRDefault="00000000">
            <w:pPr>
              <w:spacing w:before="60" w:after="60"/>
              <w:jc w:val="center"/>
            </w:pPr>
            <w:r>
              <w:rPr>
                <w:rFonts w:ascii="Arial" w:hAnsi="Arial"/>
                <w:b/>
                <w:color w:val="FFFFFF"/>
                <w:sz w:val="17"/>
              </w:rPr>
              <w:t>Status</w:t>
            </w:r>
          </w:p>
        </w:tc>
        <w:tc>
          <w:tcPr>
            <w:tcW w:w="864" w:type="dxa"/>
            <w:tcBorders>
              <w:top w:val="single" w:sz="4" w:space="0" w:color="FFFFFF"/>
              <w:left w:val="single" w:sz="4" w:space="0" w:color="FFFFFF"/>
              <w:bottom w:val="single" w:sz="4" w:space="0" w:color="FFFFFF"/>
              <w:right w:val="single" w:sz="4" w:space="0" w:color="FFFFFF"/>
            </w:tcBorders>
            <w:shd w:val="clear" w:color="auto" w:fill="1F3864"/>
          </w:tcPr>
          <w:p w:rsidR="007C10D4" w:rsidRDefault="00000000">
            <w:pPr>
              <w:spacing w:before="60" w:after="60"/>
              <w:jc w:val="center"/>
            </w:pPr>
            <w:r>
              <w:rPr>
                <w:rFonts w:ascii="Arial" w:hAnsi="Arial"/>
                <w:b/>
                <w:color w:val="FFFFFF"/>
                <w:sz w:val="17"/>
              </w:rPr>
              <w:t>Duration</w:t>
            </w:r>
          </w:p>
        </w:tc>
        <w:tc>
          <w:tcPr>
            <w:tcW w:w="1080" w:type="dxa"/>
            <w:tcBorders>
              <w:top w:val="single" w:sz="4" w:space="0" w:color="FFFFFF"/>
              <w:left w:val="single" w:sz="4" w:space="0" w:color="FFFFFF"/>
              <w:bottom w:val="single" w:sz="4" w:space="0" w:color="FFFFFF"/>
              <w:right w:val="single" w:sz="4" w:space="0" w:color="FFFFFF"/>
            </w:tcBorders>
            <w:shd w:val="clear" w:color="auto" w:fill="1F3864"/>
          </w:tcPr>
          <w:p w:rsidR="007C10D4" w:rsidRDefault="00000000">
            <w:pPr>
              <w:spacing w:before="60" w:after="60"/>
              <w:jc w:val="center"/>
            </w:pPr>
            <w:r>
              <w:rPr>
                <w:rFonts w:ascii="Arial" w:hAnsi="Arial"/>
                <w:b/>
                <w:color w:val="FFFFFF"/>
                <w:sz w:val="17"/>
              </w:rPr>
              <w:t>Validation</w:t>
            </w:r>
          </w:p>
        </w:tc>
        <w:tc>
          <w:tcPr>
            <w:tcW w:w="792" w:type="dxa"/>
            <w:tcBorders>
              <w:top w:val="single" w:sz="4" w:space="0" w:color="FFFFFF"/>
              <w:left w:val="single" w:sz="4" w:space="0" w:color="FFFFFF"/>
              <w:bottom w:val="single" w:sz="4" w:space="0" w:color="FFFFFF"/>
              <w:right w:val="single" w:sz="4" w:space="0" w:color="FFFFFF"/>
            </w:tcBorders>
            <w:shd w:val="clear" w:color="auto" w:fill="1F3864"/>
          </w:tcPr>
          <w:p w:rsidR="007C10D4" w:rsidRDefault="00000000">
            <w:pPr>
              <w:spacing w:before="60" w:after="60"/>
              <w:jc w:val="center"/>
            </w:pPr>
            <w:r>
              <w:rPr>
                <w:rFonts w:ascii="Arial" w:hAnsi="Arial"/>
                <w:b/>
                <w:color w:val="FFFFFF"/>
                <w:sz w:val="17"/>
              </w:rPr>
              <w:t>GitHub</w:t>
            </w: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1</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In Silico vs. Experimental Off-Target Concordance Atlas (Cas9)</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Off-Target Analysis &amp; Gene Editing Safety</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2</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Off-Target Landscape Comparison Across Editing Modalities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Off-Target Analysis &amp; Gene Editing Safety</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3</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Chromatin-Aware Off-Target Risk Classifier</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Off-Target Analysis &amp; Gene Editing Safety</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4</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ProteinMPNN Sequence Design Pipeline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 xml:space="preserve">Protein Design &amp; </w:t>
            </w:r>
            <w:r>
              <w:rPr>
                <w:rFonts w:ascii="Arial" w:hAnsi="Arial"/>
                <w:color w:val="222222"/>
                <w:sz w:val="16"/>
              </w:rPr>
              <w:lastRenderedPageBreak/>
              <w:t>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lastRenderedPageBreak/>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5</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RFDiffusion De Novo Binder Design</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6</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ESMFold Structure Prediction &amp; Comparison Tool</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7</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ESM-2 Embeddings for Fitness Prediction</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8</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Enzyme Engineering with Directed Evolution Simulation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9</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Antibody &amp; Nanobody Design Pipeline</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10</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LigandMPNN + RFDiffusion All-Atom for Binding Pocket Design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11</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ESM3 Multimodal Protein Generation &amp; Editing</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12</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Protein Stability Engineering: ThermoMPNN + Rosetta ddG</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13</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Structural Search &amp; Evolutionary Analysis: Foldseek + ColabFold</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14</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AlphaFold2 Multimer for Complex Prediction + Interface Analysis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Protein Design &amp; Engineering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15</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Scientific Literature RAG Agent (Biotech-Focused)</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LLMs, Agents &amp; RAG</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16</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Automated Protein Design Report Generator</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LLMs, Agents &amp; RAG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17</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AI-Assisted Experimental Design Assistant</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LLMs, Agents &amp; RAG</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18</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Research Trend Dashboard with LLM Summarization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LLMs, Agents &amp; RAG</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19</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Patent Landscape Analyzer for a Drug Target</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LLMs, Agents &amp; RAG</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20</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Variant Effect Prediction with ESM-1v</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Genomics &amp; Omics AI</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21</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scRNA-seq Cell Type Annotation with AI</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Genomics &amp; Omics AI</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22</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DNA Foundation Models for Regulatory Genomics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Genomics &amp; Omics AI</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color w:val="222222"/>
                <w:sz w:val="16"/>
              </w:rPr>
              <w:t>23</w:t>
            </w:r>
          </w:p>
        </w:tc>
        <w:tc>
          <w:tcPr>
            <w:tcW w:w="3168"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Evo + EvoProtGrad: Directed Evolution in Sequence Space</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pPr>
            <w:r>
              <w:rPr>
                <w:rFonts w:ascii="Arial" w:hAnsi="Arial"/>
                <w:color w:val="222222"/>
                <w:sz w:val="16"/>
              </w:rPr>
              <w:t>Genomics &amp; Omics AI</w:t>
            </w: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D5E8F0"/>
          </w:tcPr>
          <w:p w:rsidR="007C10D4" w:rsidRDefault="007C10D4">
            <w:pPr>
              <w:spacing w:before="40" w:after="40"/>
              <w:jc w:val="center"/>
            </w:pPr>
          </w:p>
        </w:tc>
      </w:tr>
      <w:tr w:rsidR="007C10D4">
        <w:trPr>
          <w:jc w:val="center"/>
        </w:trPr>
        <w:tc>
          <w:tcPr>
            <w:tcW w:w="43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color w:val="222222"/>
                <w:sz w:val="16"/>
              </w:rPr>
              <w:t>24</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ML Experiment Tracker + GitHub Actions CI/CD for Biotech Pipelines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pPr>
            <w:r>
              <w:rPr>
                <w:rFonts w:ascii="Arial" w:hAnsi="Arial"/>
                <w:color w:val="222222"/>
                <w:sz w:val="16"/>
              </w:rPr>
              <w:t>R&amp;D Infrastructure &amp; MLOps</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000000">
            <w:pPr>
              <w:spacing w:before="40" w:after="40"/>
              <w:jc w:val="center"/>
            </w:pPr>
            <w:r>
              <w:rPr>
                <w:rFonts w:ascii="Arial" w:hAnsi="Arial"/>
                <w:i/>
                <w:color w:val="888888"/>
                <w:sz w:val="16"/>
              </w:rPr>
              <w:t>Not Started</w:t>
            </w:r>
          </w:p>
        </w:tc>
        <w:tc>
          <w:tcPr>
            <w:tcW w:w="864"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c>
          <w:tcPr>
            <w:tcW w:w="792" w:type="dxa"/>
            <w:tcBorders>
              <w:top w:val="single" w:sz="4" w:space="0" w:color="CCCCCC"/>
              <w:left w:val="single" w:sz="4" w:space="0" w:color="CCCCCC"/>
              <w:bottom w:val="single" w:sz="4" w:space="0" w:color="CCCCCC"/>
              <w:right w:val="single" w:sz="4" w:space="0" w:color="CCCCCC"/>
            </w:tcBorders>
            <w:shd w:val="clear" w:color="auto" w:fill="FFFFFF"/>
          </w:tcPr>
          <w:p w:rsidR="007C10D4" w:rsidRDefault="007C10D4">
            <w:pPr>
              <w:spacing w:before="40" w:after="40"/>
              <w:jc w:val="center"/>
            </w:pPr>
          </w:p>
        </w:tc>
      </w:tr>
    </w:tbl>
    <w:p w:rsidR="00ED6FA7" w:rsidRDefault="00ED6FA7"/>
    <w:sectPr w:rsidR="00ED6F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531093">
    <w:abstractNumId w:val="8"/>
  </w:num>
  <w:num w:numId="2" w16cid:durableId="1291090729">
    <w:abstractNumId w:val="6"/>
  </w:num>
  <w:num w:numId="3" w16cid:durableId="577592535">
    <w:abstractNumId w:val="5"/>
  </w:num>
  <w:num w:numId="4" w16cid:durableId="157425406">
    <w:abstractNumId w:val="4"/>
  </w:num>
  <w:num w:numId="5" w16cid:durableId="332336639">
    <w:abstractNumId w:val="7"/>
  </w:num>
  <w:num w:numId="6" w16cid:durableId="1204634146">
    <w:abstractNumId w:val="3"/>
  </w:num>
  <w:num w:numId="7" w16cid:durableId="2095857698">
    <w:abstractNumId w:val="2"/>
  </w:num>
  <w:num w:numId="8" w16cid:durableId="940265355">
    <w:abstractNumId w:val="1"/>
  </w:num>
  <w:num w:numId="9" w16cid:durableId="170166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9E"/>
    <w:rsid w:val="0015074B"/>
    <w:rsid w:val="00277ECB"/>
    <w:rsid w:val="0029639D"/>
    <w:rsid w:val="00326F90"/>
    <w:rsid w:val="00427805"/>
    <w:rsid w:val="007C10D4"/>
    <w:rsid w:val="00AA1D8D"/>
    <w:rsid w:val="00B47730"/>
    <w:rsid w:val="00CB0664"/>
    <w:rsid w:val="00E6777A"/>
    <w:rsid w:val="00ED6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1768A"/>
  <w14:defaultImageDpi w14:val="300"/>
  <w15:docId w15:val="{09EA8C89-AE47-054F-9A4B-E37D3254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32</Pages>
  <Words>12535</Words>
  <Characters>71452</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Pratyusha Hunnewell</cp:lastModifiedBy>
  <cp:revision>3</cp:revision>
  <dcterms:created xsi:type="dcterms:W3CDTF">2013-12-23T23:15:00Z</dcterms:created>
  <dcterms:modified xsi:type="dcterms:W3CDTF">2026-04-14T02:12:00Z</dcterms:modified>
  <cp:category/>
</cp:coreProperties>
</file>