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01.09090909090907" w:lineRule="auto"/>
        <w:rPr>
          <w:sz w:val="24"/>
          <w:szCs w:val="24"/>
        </w:rPr>
      </w:pPr>
      <w:r w:rsidDel="00000000" w:rsidR="00000000" w:rsidRPr="00000000">
        <w:rPr>
          <w:sz w:val="24"/>
          <w:szCs w:val="24"/>
          <w:rtl w:val="0"/>
        </w:rPr>
        <w:t xml:space="preserve">DS4200 Project Description:</w:t>
      </w:r>
    </w:p>
    <w:p w:rsidR="00000000" w:rsidDel="00000000" w:rsidP="00000000" w:rsidRDefault="00000000" w:rsidRPr="00000000" w14:paraId="00000002">
      <w:pPr>
        <w:spacing w:after="160" w:line="301.09090909090907" w:lineRule="auto"/>
        <w:rPr>
          <w:b w:val="1"/>
          <w:bCs w:val="1"/>
          <w:sz w:val="24"/>
          <w:szCs w:val="24"/>
        </w:rPr>
      </w:pPr>
      <w:r w:rsidDel="00000000" w:rsidR="00000000" w:rsidRPr="00000000">
        <w:rPr>
          <w:b w:val="1"/>
          <w:bCs w:val="1"/>
          <w:sz w:val="24"/>
          <w:szCs w:val="24"/>
          <w:rtl w:val="0"/>
        </w:rPr>
        <w:t xml:space="preserve">This project investigates the complex relationship between hospital size, operational efficiency, and financial sustainability across the United States. </w:t>
      </w:r>
    </w:p>
    <w:p w:rsidR="00000000" w:rsidDel="00000000" w:rsidP="00000000" w:rsidRDefault="00000000" w:rsidRPr="00000000" w14:paraId="00000003">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160" w:line="301.09090909090907" w:lineRule="auto"/>
        <w:rPr>
          <w:b w:val="1"/>
          <w:bCs w:val="1"/>
          <w:sz w:val="24"/>
          <w:szCs w:val="24"/>
        </w:rPr>
      </w:pPr>
      <w:r w:rsidDel="00000000" w:rsidR="00000000" w:rsidRPr="00000000">
        <w:rPr>
          <w:sz w:val="24"/>
          <w:szCs w:val="24"/>
          <w:rtl w:val="0"/>
        </w:rPr>
        <w:t xml:space="preserve">Project website link: </w:t>
      </w:r>
      <w:r w:rsidDel="00000000" w:rsidR="00000000" w:rsidRPr="00000000">
        <w:rPr>
          <w:b w:val="1"/>
          <w:bCs w:val="1"/>
          <w:sz w:val="24"/>
          <w:szCs w:val="24"/>
          <w:rtl w:val="0"/>
        </w:rPr>
        <w:t xml:space="preserve">https://pratyushy-y-goyal.github.io/DS4200/</w:t>
      </w:r>
    </w:p>
    <w:p w:rsidR="00000000" w:rsidDel="00000000" w:rsidP="00000000" w:rsidRDefault="00000000" w:rsidRPr="00000000" w14:paraId="00000005">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160" w:line="301.09090909090907" w:lineRule="auto"/>
        <w:rPr>
          <w:sz w:val="24"/>
          <w:szCs w:val="24"/>
        </w:rPr>
      </w:pPr>
      <w:r w:rsidDel="00000000" w:rsidR="00000000" w:rsidRPr="00000000">
        <w:rPr>
          <w:sz w:val="24"/>
          <w:szCs w:val="24"/>
          <w:rtl w:val="0"/>
        </w:rPr>
        <w:t xml:space="preserve">Notes to the grading TA: N/A</w:t>
      </w:r>
    </w:p>
    <w:p w:rsidR="00000000" w:rsidDel="00000000" w:rsidP="00000000" w:rsidRDefault="00000000" w:rsidRPr="00000000" w14:paraId="00000007">
      <w:pPr>
        <w:spacing w:after="160" w:line="301.09090909090907" w:lineRule="auto"/>
        <w:rPr>
          <w:rFonts w:ascii="Times New Roman" w:cs="Times New Roman" w:eastAsia="Times New Roman" w:hAnsi="Times New Roman"/>
          <w:sz w:val="24"/>
          <w:szCs w:val="24"/>
        </w:rPr>
      </w:pPr>
      <w:r w:rsidDel="00000000" w:rsidR="00000000" w:rsidRPr="00000000">
        <w:rPr>
          <w:sz w:val="24"/>
          <w:szCs w:val="24"/>
          <w:highlight w:val="yellow"/>
          <w:rtl w:val="0"/>
        </w:rPr>
        <w:t xml:space="preserve"> </w:t>
      </w:r>
      <w:r w:rsidDel="00000000" w:rsidR="00000000" w:rsidRPr="00000000">
        <w:rPr>
          <w:rtl w:val="0"/>
        </w:rPr>
      </w:r>
    </w:p>
    <w:p w:rsidR="00000000" w:rsidDel="00000000" w:rsidP="00000000" w:rsidRDefault="00000000" w:rsidRPr="00000000" w14:paraId="00000008">
      <w:pPr>
        <w:numPr>
          <w:ilvl w:val="0"/>
          <w:numId w:val="2"/>
        </w:numPr>
        <w:ind w:left="720" w:hanging="360"/>
        <w:rPr>
          <w:b w:val="1"/>
          <w:bCs w:val="1"/>
          <w:u w:val="none"/>
        </w:rPr>
      </w:pPr>
      <w:r w:rsidDel="00000000" w:rsidR="00000000" w:rsidRPr="00000000">
        <w:rPr>
          <w:b w:val="1"/>
          <w:bCs w:val="1"/>
          <w:rtl w:val="0"/>
        </w:rPr>
        <w:t xml:space="preserve">Figure 1: Heatmap of Staffing Density Across Hospital</w:t>
      </w:r>
    </w:p>
    <w:p w:rsidR="00000000" w:rsidDel="00000000" w:rsidP="00000000" w:rsidRDefault="00000000" w:rsidRPr="00000000" w14:paraId="00000009">
      <w:pPr>
        <w:ind w:left="720" w:firstLine="0"/>
        <w:rPr/>
      </w:pPr>
      <w:r w:rsidDel="00000000" w:rsidR="00000000" w:rsidRPr="00000000">
        <w:rPr>
          <w:rtl w:val="0"/>
        </w:rPr>
        <w:t xml:space="preserve">The first visualization explores the relationship between staffing density measured by the number of FTE (full time employees) on payroll and hospital size measured by the number of beds. The marks of this visualization are area (individual cells) and containment (grouping the data into bins) and the channels are </w:t>
      </w:r>
      <w:r w:rsidDel="00000000" w:rsidR="00000000" w:rsidRPr="00000000">
        <w:rPr>
          <w:rtl w:val="0"/>
        </w:rPr>
        <w:t xml:space="preserve">position</w:t>
      </w:r>
      <w:r w:rsidDel="00000000" w:rsidR="00000000" w:rsidRPr="00000000">
        <w:rPr>
          <w:rtl w:val="0"/>
        </w:rPr>
        <w:t xml:space="preserve"> (x-axis defines the number of beds and the y-axis defines the number of employees) and color (saturation and intensity as the density of data increases). We chose to use a heatmap to show the concentration of hospitals in certain ranges of these two variables. This visualization also has a tooltip which allows users to hover over certain ranges and see the number of hospitals that fall within the ranges of numbers of beds and employees. </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We also added a zoomed-in version of this heatmap and displayed it side-by-side with the original heatmap which covers more data. The zoomed-in figure allows the user to more closely analyze the most concentrated area of the original.</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numPr>
          <w:ilvl w:val="0"/>
          <w:numId w:val="2"/>
        </w:numPr>
        <w:ind w:left="720" w:hanging="360"/>
        <w:rPr>
          <w:b w:val="1"/>
          <w:bCs w:val="1"/>
          <w:u w:val="none"/>
        </w:rPr>
      </w:pPr>
      <w:r w:rsidDel="00000000" w:rsidR="00000000" w:rsidRPr="00000000">
        <w:rPr>
          <w:b w:val="1"/>
          <w:bCs w:val="1"/>
          <w:rtl w:val="0"/>
        </w:rPr>
        <w:t xml:space="preserve">Figure 2: Heatmap Feature Correlation Matrix</w:t>
      </w:r>
    </w:p>
    <w:p w:rsidR="00000000" w:rsidDel="00000000" w:rsidP="00000000" w:rsidRDefault="00000000" w:rsidRPr="00000000" w14:paraId="0000000E">
      <w:pPr>
        <w:ind w:left="720" w:firstLine="0"/>
        <w:rPr/>
      </w:pPr>
      <w:r w:rsidDel="00000000" w:rsidR="00000000" w:rsidRPr="00000000">
        <w:rPr>
          <w:rtl w:val="0"/>
        </w:rPr>
        <w:t xml:space="preserve">The second visualization provides the correlation between each variable of data that we have as they interact with each other to figure out which ones will be used in the subsequent analysis. The marks are area (individual cells) and text (numeric value of the correlation) and the channels are color (hue and intensity as correlation increases or decreases) and position (of the variables being compared). This visualization allows the audience to understand why we later on chose to explore certain relationships such as bed count and clinical operating margin, net patient revenue per bed, and more as these variables are highly correlated with each other. Similarly to the first visualization, this matrix has a tooltip which allows the user to hover over each cell and more clearly see the two variables listed along with their correlation.</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numPr>
          <w:ilvl w:val="0"/>
          <w:numId w:val="2"/>
        </w:numPr>
        <w:spacing w:after="0" w:lineRule="auto"/>
        <w:ind w:left="720" w:hanging="360"/>
        <w:rPr>
          <w:b w:val="1"/>
          <w:bCs w:val="1"/>
          <w:u w:val="none"/>
        </w:rPr>
      </w:pPr>
      <w:r w:rsidDel="00000000" w:rsidR="00000000" w:rsidRPr="00000000">
        <w:rPr>
          <w:b w:val="1"/>
          <w:bCs w:val="1"/>
          <w:rtl w:val="0"/>
        </w:rPr>
        <w:t xml:space="preserve">Figure 3: Grouped Boxplot of Clinical Operating Margin by Type of Control and Size Category</w:t>
      </w:r>
    </w:p>
    <w:p w:rsidR="00000000" w:rsidDel="00000000" w:rsidP="00000000" w:rsidRDefault="00000000" w:rsidRPr="00000000" w14:paraId="00000011">
      <w:pPr>
        <w:spacing w:after="200" w:lineRule="auto"/>
        <w:ind w:left="720" w:firstLine="0"/>
        <w:rPr/>
      </w:pPr>
      <w:r w:rsidDel="00000000" w:rsidR="00000000" w:rsidRPr="00000000">
        <w:rPr>
          <w:rtl w:val="0"/>
        </w:rPr>
        <w:t xml:space="preserve">The third visualization explores one of the uncorrelated variables with the number of beds in the heatmap. For this visualization, I chose to use a grouped box plot to easily visualize the three variables. A grouped box plot allows us to see the shape of the distribution of the data without the noise of all the datapoints. Because there are so many different types of controls, using facets or grouped box plots would have made comparing control types and interpreting the data trends much more difficult. The mark is a bar, and the primary channels are position (horizontal and vertical; horizontal encodes clinical operating margin and vertical encodes the type of control) and also color for hospital size (small is blue, orange is medium, and burnt orange is large). Additionally, I added an interaction where one is able to click on each of the hospital sizes as a radio button (one for small, medium, and large) to isolate and easily compare different ownership control types for just that one hospital size. Finally, I added a dotted black line along the 0 clinical operating margin so that the viewer is better able to see which distributions are clustered towards the positive or negative clinical operating margin. </w:t>
      </w:r>
    </w:p>
    <w:p w:rsidR="00000000" w:rsidDel="00000000" w:rsidP="00000000" w:rsidRDefault="00000000" w:rsidRPr="00000000" w14:paraId="00000012">
      <w:pPr>
        <w:numPr>
          <w:ilvl w:val="0"/>
          <w:numId w:val="2"/>
        </w:numPr>
        <w:spacing w:after="0" w:lineRule="auto"/>
        <w:ind w:left="720" w:hanging="360"/>
        <w:rPr>
          <w:b w:val="1"/>
          <w:bCs w:val="1"/>
          <w:sz w:val="23"/>
          <w:szCs w:val="23"/>
          <w:u w:val="none"/>
        </w:rPr>
      </w:pPr>
      <w:r w:rsidDel="00000000" w:rsidR="00000000" w:rsidRPr="00000000">
        <w:rPr>
          <w:b w:val="1"/>
          <w:bCs w:val="1"/>
          <w:sz w:val="23"/>
          <w:szCs w:val="23"/>
          <w:rtl w:val="0"/>
        </w:rPr>
        <w:t xml:space="preserve">Figure 4: Pairwise scatterplot showing the relationship between Operating Expense Ratio and Number of Beds, colored by Region</w:t>
      </w:r>
    </w:p>
    <w:p w:rsidR="00000000" w:rsidDel="00000000" w:rsidP="00000000" w:rsidRDefault="00000000" w:rsidRPr="00000000" w14:paraId="00000013">
      <w:pPr>
        <w:spacing w:after="200" w:lineRule="auto"/>
        <w:ind w:left="720" w:firstLine="0"/>
        <w:rPr/>
      </w:pPr>
      <w:r w:rsidDel="00000000" w:rsidR="00000000" w:rsidRPr="00000000">
        <w:rPr>
          <w:rtl w:val="0"/>
        </w:rPr>
        <w:t xml:space="preserve">The fourth visualization also explores one of the uncorrelated variables with the number of beds in the heatmap, but looking at regional patterns instead of ownership type. The pairwise scatterplot was the best way to visualize the relationship between the number of beds and operating expense ratio because they were both two quantitative variables. Additionally, the faceted layout along with a dotted line along the 1.0 position, allowed for easier interpretation of urban vs. rural clusters in low vs. high operating expense ratios.. The mark is a point, and the primary channels are position (horizontal and vertical; horizontal encodes number of beds and vertical encodes operating expense ratio) as well as color for region (rural is blue and urban is orange).  A horizontal layout is used for easier interpretation. </w:t>
      </w:r>
      <w:r w:rsidDel="00000000" w:rsidR="00000000" w:rsidRPr="00000000">
        <w:rPr>
          <w:rtl w:val="0"/>
        </w:rPr>
      </w:r>
    </w:p>
    <w:p w:rsidR="00000000" w:rsidDel="00000000" w:rsidP="00000000" w:rsidRDefault="00000000" w:rsidRPr="00000000" w14:paraId="00000014">
      <w:pPr>
        <w:numPr>
          <w:ilvl w:val="0"/>
          <w:numId w:val="2"/>
        </w:numPr>
        <w:spacing w:after="0" w:lineRule="auto"/>
        <w:ind w:left="720" w:hanging="360"/>
        <w:rPr>
          <w:b w:val="1"/>
          <w:bCs w:val="1"/>
          <w:sz w:val="23"/>
          <w:szCs w:val="23"/>
          <w:u w:val="none"/>
        </w:rPr>
      </w:pPr>
      <w:r w:rsidDel="00000000" w:rsidR="00000000" w:rsidRPr="00000000">
        <w:rPr>
          <w:b w:val="1"/>
          <w:bCs w:val="1"/>
          <w:sz w:val="23"/>
          <w:szCs w:val="23"/>
          <w:rtl w:val="0"/>
        </w:rPr>
        <w:t xml:space="preserve">Figure 5: Choropleth Map of Average Net Patient Revenue per Bed by State</w:t>
      </w:r>
    </w:p>
    <w:p w:rsidR="00000000" w:rsidDel="00000000" w:rsidP="00000000" w:rsidRDefault="00000000" w:rsidRPr="00000000" w14:paraId="00000015">
      <w:pPr>
        <w:spacing w:after="200" w:lineRule="auto"/>
        <w:ind w:left="720" w:firstLine="0"/>
        <w:rPr/>
      </w:pPr>
      <w:r w:rsidDel="00000000" w:rsidR="00000000" w:rsidRPr="00000000">
        <w:rPr>
          <w:rtl w:val="0"/>
        </w:rPr>
        <w:t xml:space="preserve">The fifth visualization looks deeper into how regional disparities affect the financial performance of the hospital even when the number of beds is correlated to that variable. The map shows the relationship between region and the average net patient revenue in each state, allowing us to see various regional patterns of hospital financial performance across the U.S. I aggregated the data based on state level vs. county level for easier interpretation. Additionally, the tooltip selection allows you to click on each state and see the distribution of net patient revenue for all the hospitals in that particular state; the tooltip hover allows you to see the state name and average net patient revenue per bed. For the choropleth map, the mark is area and the primary channel is color, which uses single color gradient in order to encode the average net patient revenue per bed in each state, where light orange represents low average net patient revenue per bed and dark orange represents a high average net patient revenue per bed. For the histogram, the mark is a bar and the primary channel is position (both horizontal and vertical; horizontal encodes the net patient revenue per bed and the vertical encodes the number of hospitals). </w:t>
      </w:r>
      <w:r w:rsidDel="00000000" w:rsidR="00000000" w:rsidRPr="00000000">
        <w:rPr>
          <w:rtl w:val="0"/>
        </w:rPr>
      </w:r>
    </w:p>
    <w:p w:rsidR="00000000" w:rsidDel="00000000" w:rsidP="00000000" w:rsidRDefault="00000000" w:rsidRPr="00000000" w14:paraId="00000016">
      <w:pPr>
        <w:pStyle w:val="Heading1"/>
        <w:keepNext w:val="0"/>
        <w:keepLines w:val="0"/>
        <w:numPr>
          <w:ilvl w:val="0"/>
          <w:numId w:val="2"/>
        </w:numPr>
        <w:spacing w:before="480" w:lineRule="auto"/>
        <w:ind w:left="720" w:hanging="360"/>
        <w:rPr>
          <w:b w:val="1"/>
          <w:bCs w:val="1"/>
          <w:sz w:val="23"/>
          <w:szCs w:val="23"/>
          <w:u w:val="none"/>
        </w:rPr>
      </w:pPr>
      <w:bookmarkStart w:colFirst="0" w:colLast="0" w:name="_jgt2sothu0nq" w:id="0"/>
      <w:bookmarkEnd w:id="0"/>
      <w:r w:rsidDel="00000000" w:rsidR="00000000" w:rsidRPr="00000000">
        <w:rPr>
          <w:b w:val="1"/>
          <w:bCs w:val="1"/>
          <w:sz w:val="23"/>
          <w:szCs w:val="23"/>
          <w:rtl w:val="0"/>
        </w:rPr>
        <w:t xml:space="preserve">Figure 6: Sankey Diagram of Hospital Size, Financial Health, and Revenue Performance</w:t>
      </w: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The sixth visualization explores how hospital size relates to financial performance through key intermediate metrics such as operating expense ratio and clinical operating margin. The Sankey diagram shows the flow of hospitals from size categories into expense efficiency groups, then into margin outcomes, and finally into revenue performance, allowing us to observe how these factors interact across all hospitals. For this visualization, the mark is a flow (Sankey link), and the primary channel is width, which encodes the number of hospitals moving between each stage. Color is used as a secondary channel to differentiate categories across stages, with blue tones representing hospital size and stronger financial outcomes, and orange/brown tones representing weaker financial conditions. The interactive design allows users to hover over each flow to view the number and proportion of hospitals, making it easier to trace how financial efficiency and margin contribute to overall revenue performance.</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 </w:t>
      </w:r>
    </w:p>
    <w:p w:rsidR="00000000" w:rsidDel="00000000" w:rsidP="00000000" w:rsidRDefault="00000000" w:rsidRPr="00000000" w14:paraId="00000019">
      <w:pPr>
        <w:rPr>
          <w:sz w:val="24"/>
          <w:szCs w:val="24"/>
        </w:rPr>
      </w:pPr>
      <w:r w:rsidDel="00000000" w:rsidR="00000000" w:rsidRPr="00000000">
        <w:rPr>
          <w:sz w:val="24"/>
          <w:szCs w:val="24"/>
          <w:rtl w:val="0"/>
        </w:rPr>
        <w:t xml:space="preserve"> </w:t>
      </w:r>
    </w:p>
    <w:p w:rsidR="00000000" w:rsidDel="00000000" w:rsidP="00000000" w:rsidRDefault="00000000" w:rsidRPr="00000000" w14:paraId="0000001A">
      <w:pPr>
        <w:spacing w:after="160" w:line="301.09090909090907" w:lineRule="auto"/>
        <w:rPr>
          <w:sz w:val="24"/>
          <w:szCs w:val="24"/>
        </w:rPr>
      </w:pPr>
      <w:r w:rsidDel="00000000" w:rsidR="00000000" w:rsidRPr="00000000">
        <w:rPr>
          <w:sz w:val="24"/>
          <w:szCs w:val="24"/>
          <w:rtl w:val="0"/>
        </w:rPr>
        <w:t xml:space="preserve">Feedback from the peer review:</w:t>
      </w:r>
    </w:p>
    <w:p w:rsidR="00000000" w:rsidDel="00000000" w:rsidP="00000000" w:rsidRDefault="00000000" w:rsidRPr="00000000" w14:paraId="0000001B">
      <w:pPr>
        <w:spacing w:after="160" w:line="301.09090909090907" w:lineRule="auto"/>
        <w:rPr>
          <w:b w:val="1"/>
          <w:bCs w:val="1"/>
          <w:sz w:val="24"/>
          <w:szCs w:val="24"/>
        </w:rPr>
      </w:pPr>
      <w:r w:rsidDel="00000000" w:rsidR="00000000" w:rsidRPr="00000000">
        <w:rPr>
          <w:sz w:val="24"/>
          <w:szCs w:val="24"/>
          <w:rtl w:val="0"/>
        </w:rPr>
        <w:t xml:space="preserve">The main feedback we got from the peer review is ….</w:t>
      </w:r>
      <w:r w:rsidDel="00000000" w:rsidR="00000000" w:rsidRPr="00000000">
        <w:rPr>
          <w:b w:val="1"/>
          <w:bCs w:val="1"/>
          <w:sz w:val="24"/>
          <w:szCs w:val="24"/>
          <w:rtl w:val="0"/>
        </w:rPr>
        <w:t xml:space="preserve">to cut down on the wordiness of the takeaways and also improve the UI of the webpage. </w:t>
      </w:r>
    </w:p>
    <w:p w:rsidR="00000000" w:rsidDel="00000000" w:rsidP="00000000" w:rsidRDefault="00000000" w:rsidRPr="00000000" w14:paraId="0000001C">
      <w:pPr>
        <w:spacing w:after="160" w:line="301.09090909090907" w:lineRule="auto"/>
        <w:rPr>
          <w:sz w:val="24"/>
          <w:szCs w:val="24"/>
        </w:rPr>
      </w:pPr>
      <w:r w:rsidDel="00000000" w:rsidR="00000000" w:rsidRPr="00000000">
        <w:rPr>
          <w:sz w:val="24"/>
          <w:szCs w:val="24"/>
          <w:rtl w:val="0"/>
        </w:rPr>
        <w:t xml:space="preserve">The changes we have made include …</w:t>
      </w:r>
    </w:p>
    <w:p w:rsidR="00000000" w:rsidDel="00000000" w:rsidP="00000000" w:rsidRDefault="00000000" w:rsidRPr="00000000" w14:paraId="0000001D">
      <w:pPr>
        <w:numPr>
          <w:ilvl w:val="0"/>
          <w:numId w:val="1"/>
        </w:numPr>
        <w:spacing w:after="0" w:afterAutospacing="0" w:line="301.09090909090907" w:lineRule="auto"/>
        <w:ind w:left="720" w:hanging="360"/>
        <w:rPr>
          <w:b w:val="1"/>
          <w:bCs w:val="1"/>
          <w:sz w:val="24"/>
          <w:szCs w:val="24"/>
          <w:u w:val="none"/>
        </w:rPr>
      </w:pPr>
      <w:r w:rsidDel="00000000" w:rsidR="00000000" w:rsidRPr="00000000">
        <w:rPr>
          <w:b w:val="1"/>
          <w:bCs w:val="1"/>
          <w:sz w:val="24"/>
          <w:szCs w:val="24"/>
          <w:rtl w:val="0"/>
        </w:rPr>
        <w:t xml:space="preserve">made the UI more appealing by increasing the margins on the sides so that it enhances visual appeal and also readability/making the figure headings more distinct from the rest of the section</w:t>
      </w:r>
    </w:p>
    <w:p w:rsidR="00000000" w:rsidDel="00000000" w:rsidP="00000000" w:rsidRDefault="00000000" w:rsidRPr="00000000" w14:paraId="0000001E">
      <w:pPr>
        <w:numPr>
          <w:ilvl w:val="0"/>
          <w:numId w:val="1"/>
        </w:numPr>
        <w:spacing w:after="0" w:afterAutospacing="0" w:line="301.09090909090907" w:lineRule="auto"/>
        <w:ind w:left="720" w:hanging="360"/>
        <w:rPr>
          <w:b w:val="1"/>
          <w:bCs w:val="1"/>
          <w:sz w:val="24"/>
          <w:szCs w:val="24"/>
          <w:u w:val="none"/>
        </w:rPr>
      </w:pPr>
      <w:r w:rsidDel="00000000" w:rsidR="00000000" w:rsidRPr="00000000">
        <w:rPr>
          <w:b w:val="1"/>
          <w:bCs w:val="1"/>
          <w:sz w:val="24"/>
          <w:szCs w:val="24"/>
          <w:rtl w:val="0"/>
        </w:rPr>
        <w:t xml:space="preserve">enclosed each of the figures/takeaways with their own borders for better compartmentalization of each visualization</w:t>
      </w:r>
    </w:p>
    <w:p w:rsidR="00000000" w:rsidDel="00000000" w:rsidP="00000000" w:rsidRDefault="00000000" w:rsidRPr="00000000" w14:paraId="0000001F">
      <w:pPr>
        <w:numPr>
          <w:ilvl w:val="0"/>
          <w:numId w:val="1"/>
        </w:numPr>
        <w:spacing w:after="0" w:afterAutospacing="0" w:line="301.09090909090907" w:lineRule="auto"/>
        <w:ind w:left="720" w:hanging="360"/>
        <w:rPr>
          <w:b w:val="1"/>
          <w:bCs w:val="1"/>
          <w:sz w:val="24"/>
          <w:szCs w:val="24"/>
          <w:u w:val="none"/>
        </w:rPr>
      </w:pPr>
      <w:r w:rsidDel="00000000" w:rsidR="00000000" w:rsidRPr="00000000">
        <w:rPr>
          <w:b w:val="1"/>
          <w:bCs w:val="1"/>
          <w:sz w:val="24"/>
          <w:szCs w:val="24"/>
          <w:rtl w:val="0"/>
        </w:rPr>
        <w:t xml:space="preserve">made the takeaways more concise and clear</w:t>
      </w:r>
    </w:p>
    <w:p w:rsidR="00000000" w:rsidDel="00000000" w:rsidP="00000000" w:rsidRDefault="00000000" w:rsidRPr="00000000" w14:paraId="00000020">
      <w:pPr>
        <w:numPr>
          <w:ilvl w:val="0"/>
          <w:numId w:val="1"/>
        </w:numPr>
        <w:spacing w:after="0" w:afterAutospacing="0" w:line="301.09090909090907" w:lineRule="auto"/>
        <w:ind w:left="720" w:hanging="360"/>
        <w:rPr>
          <w:b w:val="1"/>
          <w:bCs w:val="1"/>
          <w:sz w:val="24"/>
          <w:szCs w:val="24"/>
          <w:u w:val="none"/>
        </w:rPr>
      </w:pPr>
      <w:r w:rsidDel="00000000" w:rsidR="00000000" w:rsidRPr="00000000">
        <w:rPr>
          <w:b w:val="1"/>
          <w:bCs w:val="1"/>
          <w:sz w:val="24"/>
          <w:szCs w:val="24"/>
          <w:rtl w:val="0"/>
        </w:rPr>
        <w:t xml:space="preserve">Included future work within the webpage </w:t>
      </w:r>
    </w:p>
    <w:p w:rsidR="00000000" w:rsidDel="00000000" w:rsidP="00000000" w:rsidRDefault="00000000" w:rsidRPr="00000000" w14:paraId="00000021">
      <w:pPr>
        <w:numPr>
          <w:ilvl w:val="0"/>
          <w:numId w:val="1"/>
        </w:numPr>
        <w:spacing w:after="0" w:afterAutospacing="0" w:line="301.09090909090907" w:lineRule="auto"/>
        <w:ind w:left="720" w:hanging="360"/>
        <w:rPr>
          <w:b w:val="1"/>
          <w:bCs w:val="1"/>
          <w:sz w:val="24"/>
          <w:szCs w:val="24"/>
          <w:u w:val="none"/>
        </w:rPr>
      </w:pPr>
      <w:r w:rsidDel="00000000" w:rsidR="00000000" w:rsidRPr="00000000">
        <w:rPr>
          <w:b w:val="1"/>
          <w:bCs w:val="1"/>
          <w:sz w:val="24"/>
          <w:szCs w:val="24"/>
          <w:rtl w:val="0"/>
        </w:rPr>
        <w:t xml:space="preserve">Stated on the webpage what interactions/how to use them for each figure</w:t>
      </w:r>
    </w:p>
    <w:p w:rsidR="00000000" w:rsidDel="00000000" w:rsidP="00000000" w:rsidRDefault="00000000" w:rsidRPr="00000000" w14:paraId="00000022">
      <w:pPr>
        <w:numPr>
          <w:ilvl w:val="0"/>
          <w:numId w:val="1"/>
        </w:numPr>
        <w:spacing w:after="0" w:afterAutospacing="0" w:line="301.09090909090907" w:lineRule="auto"/>
        <w:ind w:left="720" w:hanging="360"/>
        <w:rPr>
          <w:b w:val="1"/>
          <w:bCs w:val="1"/>
          <w:sz w:val="24"/>
          <w:szCs w:val="24"/>
          <w:u w:val="none"/>
        </w:rPr>
      </w:pPr>
      <w:r w:rsidDel="00000000" w:rsidR="00000000" w:rsidRPr="00000000">
        <w:rPr>
          <w:b w:val="1"/>
          <w:bCs w:val="1"/>
          <w:sz w:val="24"/>
          <w:szCs w:val="24"/>
          <w:rtl w:val="0"/>
        </w:rPr>
        <w:t xml:space="preserve">Added an internal navigation on the visual analysis page for each figure </w:t>
      </w:r>
    </w:p>
    <w:p w:rsidR="00000000" w:rsidDel="00000000" w:rsidP="00000000" w:rsidRDefault="00000000" w:rsidRPr="00000000" w14:paraId="00000023">
      <w:pPr>
        <w:numPr>
          <w:ilvl w:val="0"/>
          <w:numId w:val="1"/>
        </w:numPr>
        <w:spacing w:after="0" w:afterAutospacing="0" w:line="301.09090909090907" w:lineRule="auto"/>
        <w:ind w:left="720" w:hanging="360"/>
        <w:rPr>
          <w:b w:val="1"/>
          <w:bCs w:val="1"/>
          <w:sz w:val="24"/>
          <w:szCs w:val="24"/>
          <w:u w:val="none"/>
        </w:rPr>
      </w:pPr>
      <w:r w:rsidDel="00000000" w:rsidR="00000000" w:rsidRPr="00000000">
        <w:rPr>
          <w:b w:val="1"/>
          <w:bCs w:val="1"/>
          <w:sz w:val="24"/>
          <w:szCs w:val="24"/>
          <w:rtl w:val="0"/>
        </w:rPr>
        <w:t xml:space="preserve">Improved the Sankey diagram by making the variables more clear</w:t>
      </w:r>
    </w:p>
    <w:p w:rsidR="00000000" w:rsidDel="00000000" w:rsidP="00000000" w:rsidRDefault="00000000" w:rsidRPr="00000000" w14:paraId="00000024">
      <w:pPr>
        <w:numPr>
          <w:ilvl w:val="0"/>
          <w:numId w:val="1"/>
        </w:numPr>
        <w:spacing w:after="0" w:afterAutospacing="0" w:line="301.09090909090907" w:lineRule="auto"/>
        <w:ind w:left="720" w:hanging="360"/>
        <w:rPr>
          <w:b w:val="1"/>
          <w:bCs w:val="1"/>
          <w:sz w:val="24"/>
          <w:szCs w:val="24"/>
          <w:u w:val="none"/>
        </w:rPr>
      </w:pPr>
      <w:r w:rsidDel="00000000" w:rsidR="00000000" w:rsidRPr="00000000">
        <w:rPr>
          <w:b w:val="1"/>
          <w:bCs w:val="1"/>
          <w:sz w:val="24"/>
          <w:szCs w:val="24"/>
          <w:rtl w:val="0"/>
        </w:rPr>
        <w:t xml:space="preserve">Made the Sankey diagram more robust with a better storyline</w:t>
      </w:r>
    </w:p>
    <w:p w:rsidR="00000000" w:rsidDel="00000000" w:rsidP="00000000" w:rsidRDefault="00000000" w:rsidRPr="00000000" w14:paraId="00000025">
      <w:pPr>
        <w:numPr>
          <w:ilvl w:val="0"/>
          <w:numId w:val="1"/>
        </w:numPr>
        <w:spacing w:after="0" w:afterAutospacing="0" w:line="301.09090909090907" w:lineRule="auto"/>
        <w:ind w:left="720" w:hanging="360"/>
        <w:rPr>
          <w:b w:val="1"/>
          <w:bCs w:val="1"/>
          <w:sz w:val="24"/>
          <w:szCs w:val="24"/>
          <w:u w:val="none"/>
        </w:rPr>
      </w:pPr>
      <w:r w:rsidDel="00000000" w:rsidR="00000000" w:rsidRPr="00000000">
        <w:rPr>
          <w:b w:val="1"/>
          <w:bCs w:val="1"/>
          <w:sz w:val="24"/>
          <w:szCs w:val="24"/>
          <w:rtl w:val="0"/>
        </w:rPr>
        <w:t xml:space="preserve">Made it more clear where the visualization tab is (instead of just being introduction and visualization, put instead “Click Here for Visualization”)</w:t>
      </w:r>
    </w:p>
    <w:p w:rsidR="00000000" w:rsidDel="00000000" w:rsidP="00000000" w:rsidRDefault="00000000" w:rsidRPr="00000000" w14:paraId="00000026">
      <w:pPr>
        <w:numPr>
          <w:ilvl w:val="0"/>
          <w:numId w:val="1"/>
        </w:numPr>
        <w:spacing w:after="0" w:afterAutospacing="0" w:line="301.09090909090907" w:lineRule="auto"/>
        <w:ind w:left="720" w:hanging="360"/>
        <w:rPr>
          <w:b w:val="1"/>
          <w:bCs w:val="1"/>
          <w:sz w:val="24"/>
          <w:szCs w:val="24"/>
          <w:u w:val="none"/>
        </w:rPr>
      </w:pPr>
      <w:r w:rsidDel="00000000" w:rsidR="00000000" w:rsidRPr="00000000">
        <w:rPr>
          <w:b w:val="1"/>
          <w:bCs w:val="1"/>
          <w:sz w:val="24"/>
          <w:szCs w:val="24"/>
          <w:rtl w:val="0"/>
        </w:rPr>
        <w:t xml:space="preserve">Fixed the font from verdana to opensans (made the website look cleaner)</w:t>
      </w:r>
    </w:p>
    <w:p w:rsidR="00000000" w:rsidDel="00000000" w:rsidP="00000000" w:rsidRDefault="00000000" w:rsidRPr="00000000" w14:paraId="00000027">
      <w:pPr>
        <w:numPr>
          <w:ilvl w:val="0"/>
          <w:numId w:val="1"/>
        </w:numPr>
        <w:spacing w:after="0" w:afterAutospacing="0" w:line="301.09090909090907" w:lineRule="auto"/>
        <w:ind w:left="720" w:hanging="360"/>
        <w:rPr>
          <w:b w:val="1"/>
          <w:bCs w:val="1"/>
          <w:sz w:val="24"/>
          <w:szCs w:val="24"/>
          <w:u w:val="none"/>
        </w:rPr>
      </w:pPr>
      <w:r w:rsidDel="00000000" w:rsidR="00000000" w:rsidRPr="00000000">
        <w:rPr>
          <w:b w:val="1"/>
          <w:bCs w:val="1"/>
          <w:sz w:val="24"/>
          <w:szCs w:val="24"/>
          <w:rtl w:val="0"/>
        </w:rPr>
        <w:t xml:space="preserve">Added a line in Figure 4 to divide above and below 1 operating expense ratios to better show the clusters above and below 1 for rural and urban</w:t>
      </w:r>
    </w:p>
    <w:p w:rsidR="00000000" w:rsidDel="00000000" w:rsidP="00000000" w:rsidRDefault="00000000" w:rsidRPr="00000000" w14:paraId="00000028">
      <w:pPr>
        <w:numPr>
          <w:ilvl w:val="0"/>
          <w:numId w:val="1"/>
        </w:numPr>
        <w:spacing w:after="0" w:afterAutospacing="0" w:line="301.09090909090907" w:lineRule="auto"/>
        <w:ind w:left="720" w:hanging="360"/>
        <w:rPr>
          <w:b w:val="1"/>
          <w:bCs w:val="1"/>
          <w:sz w:val="24"/>
          <w:szCs w:val="24"/>
          <w:u w:val="none"/>
        </w:rPr>
      </w:pPr>
      <w:r w:rsidDel="00000000" w:rsidR="00000000" w:rsidRPr="00000000">
        <w:rPr>
          <w:b w:val="1"/>
          <w:bCs w:val="1"/>
          <w:sz w:val="24"/>
          <w:szCs w:val="24"/>
          <w:rtl w:val="0"/>
        </w:rPr>
        <w:t xml:space="preserve">Included a glossary of financial terms for easier user interpretation of the analysis in the data introduction paragraph</w:t>
      </w:r>
    </w:p>
    <w:p w:rsidR="00000000" w:rsidDel="00000000" w:rsidP="00000000" w:rsidRDefault="00000000" w:rsidRPr="00000000" w14:paraId="00000029">
      <w:pPr>
        <w:numPr>
          <w:ilvl w:val="0"/>
          <w:numId w:val="1"/>
        </w:numPr>
        <w:spacing w:after="160" w:line="301.09090909090907" w:lineRule="auto"/>
        <w:ind w:left="720" w:hanging="360"/>
        <w:rPr>
          <w:b w:val="1"/>
          <w:bCs w:val="1"/>
          <w:sz w:val="24"/>
          <w:szCs w:val="24"/>
          <w:u w:val="none"/>
        </w:rPr>
      </w:pPr>
      <w:r w:rsidDel="00000000" w:rsidR="00000000" w:rsidRPr="00000000">
        <w:rPr>
          <w:b w:val="1"/>
          <w:bCs w:val="1"/>
          <w:sz w:val="24"/>
          <w:szCs w:val="24"/>
          <w:rtl w:val="0"/>
        </w:rPr>
        <w:t xml:space="preserve">Deleted the gradient in the background and did a solid blue color (the two gradients clashed together with the section background and the actual background)</w:t>
      </w:r>
    </w:p>
    <w:p w:rsidR="00000000" w:rsidDel="00000000" w:rsidP="00000000" w:rsidRDefault="00000000" w:rsidRPr="00000000" w14:paraId="0000002A">
      <w:pPr>
        <w:spacing w:after="160" w:line="301.09090909090907" w:lineRule="auto"/>
        <w:ind w:left="0" w:firstLine="0"/>
        <w:rPr>
          <w:b w:val="1"/>
          <w:bCs w:val="1"/>
          <w:sz w:val="24"/>
          <w:szCs w:val="24"/>
        </w:rPr>
      </w:pPr>
      <w:r w:rsidDel="00000000" w:rsidR="00000000" w:rsidRPr="00000000">
        <w:rPr>
          <w:sz w:val="24"/>
          <w:szCs w:val="24"/>
          <w:rtl w:val="0"/>
        </w:rPr>
        <w:t xml:space="preserve">The reason we did not change … is …</w:t>
      </w:r>
      <w:r w:rsidDel="00000000" w:rsidR="00000000" w:rsidRPr="00000000">
        <w:rPr>
          <w:rtl w:val="0"/>
        </w:rPr>
      </w:r>
    </w:p>
    <w:p w:rsidR="00000000" w:rsidDel="00000000" w:rsidP="00000000" w:rsidRDefault="00000000" w:rsidRPr="00000000" w14:paraId="0000002B">
      <w:pPr>
        <w:numPr>
          <w:ilvl w:val="0"/>
          <w:numId w:val="1"/>
        </w:numPr>
        <w:spacing w:after="0" w:afterAutospacing="0" w:before="240" w:line="301.09090909090907" w:lineRule="auto"/>
        <w:ind w:left="720" w:hanging="360"/>
      </w:pPr>
      <w:r w:rsidDel="00000000" w:rsidR="00000000" w:rsidRPr="00000000">
        <w:rPr>
          <w:b w:val="1"/>
          <w:bCs w:val="1"/>
          <w:sz w:val="24"/>
          <w:szCs w:val="24"/>
          <w:rtl w:val="0"/>
        </w:rPr>
        <w:t xml:space="preserve">Kept the core visualization types the same (like the Sankey, scatter plots) since they already conveyed the key relationships effectively</w:t>
      </w:r>
    </w:p>
    <w:p w:rsidR="00000000" w:rsidDel="00000000" w:rsidP="00000000" w:rsidRDefault="00000000" w:rsidRPr="00000000" w14:paraId="0000002C">
      <w:pPr>
        <w:numPr>
          <w:ilvl w:val="0"/>
          <w:numId w:val="1"/>
        </w:numPr>
        <w:spacing w:after="0" w:afterAutospacing="0" w:before="0" w:beforeAutospacing="0" w:line="301.09090909090907" w:lineRule="auto"/>
        <w:ind w:left="720" w:hanging="360"/>
      </w:pPr>
      <w:r w:rsidDel="00000000" w:rsidR="00000000" w:rsidRPr="00000000">
        <w:rPr>
          <w:b w:val="1"/>
          <w:bCs w:val="1"/>
          <w:sz w:val="24"/>
          <w:szCs w:val="24"/>
          <w:rtl w:val="0"/>
        </w:rPr>
        <w:t xml:space="preserve">Did not alter the dataset or add new data sources, as the existing data was sufficient for the analysis goals</w:t>
      </w:r>
    </w:p>
    <w:p w:rsidR="00000000" w:rsidDel="00000000" w:rsidP="00000000" w:rsidRDefault="00000000" w:rsidRPr="00000000" w14:paraId="0000002D">
      <w:pPr>
        <w:numPr>
          <w:ilvl w:val="0"/>
          <w:numId w:val="1"/>
        </w:numPr>
        <w:spacing w:after="240" w:before="0" w:beforeAutospacing="0" w:line="301.09090909090907" w:lineRule="auto"/>
        <w:ind w:left="720" w:hanging="360"/>
      </w:pPr>
      <w:r w:rsidDel="00000000" w:rsidR="00000000" w:rsidRPr="00000000">
        <w:rPr>
          <w:b w:val="1"/>
          <w:bCs w:val="1"/>
          <w:sz w:val="24"/>
          <w:szCs w:val="24"/>
          <w:rtl w:val="0"/>
        </w:rPr>
        <w:t xml:space="preserve">Did not add advanced interactivity beyond explanations, to avoid overwhelming users and keeping all the plots and explanations simple</w:t>
      </w:r>
    </w:p>
    <w:p w:rsidR="00000000" w:rsidDel="00000000" w:rsidP="00000000" w:rsidRDefault="00000000" w:rsidRPr="00000000" w14:paraId="0000002E">
      <w:pPr>
        <w:spacing w:after="160" w:line="301.09090909090907" w:lineRule="auto"/>
        <w:ind w:left="0" w:firstLine="0"/>
        <w:rPr>
          <w:sz w:val="24"/>
          <w:szCs w:val="24"/>
        </w:rPr>
      </w:pPr>
      <w:r w:rsidDel="00000000" w:rsidR="00000000" w:rsidRPr="00000000">
        <w:rPr>
          <w:rtl w:val="0"/>
        </w:rPr>
      </w:r>
    </w:p>
    <w:p w:rsidR="00000000" w:rsidDel="00000000" w:rsidP="00000000" w:rsidRDefault="00000000" w:rsidRPr="00000000" w14:paraId="0000002F">
      <w:pPr>
        <w:spacing w:after="160" w:line="301.09090909090907" w:lineRule="auto"/>
        <w:ind w:left="0" w:firstLine="0"/>
        <w:rPr>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