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80"/>
              <w:left w:type="dxa" w:w="480"/>
              <w:bottom w:type="dxa" w:w="480"/>
              <w:right w:type="dxa" w:w="480"/>
            </w:tcMar>
          </w:tcPr>
          <w:p>
            <w:pPr>
              <w:spacing w:after="120" w:before="0"/>
              <w:jc w:val="center"/>
            </w:pPr>
            <w:r>
              <w:rPr>
                <w:rFonts w:ascii="Arial" w:cs="Arial" w:eastAsia="Arial" w:hAnsi="Arial"/>
                <w:b/>
                <w:bCs/>
                <w:color w:val="FFFFFF"/>
                <w:sz w:val="56"/>
                <w:szCs w:val="56"/>
              </w:rPr>
              <w:t xml:space="preserve">TrialMatch AI</w:t>
            </w:r>
          </w:p>
          <w:p>
            <w:pPr>
              <w:spacing w:after="120" w:before="0"/>
              <w:jc w:val="center"/>
            </w:pPr>
            <w:r>
              <w:rPr>
                <w:rFonts w:ascii="Arial" w:cs="Arial" w:eastAsia="Arial" w:hAnsi="Arial"/>
                <w:color w:val="D5E8F0"/>
                <w:sz w:val="28"/>
                <w:szCs w:val="28"/>
              </w:rPr>
              <w:t xml:space="preserve">Clinical Trial Eligibility Reasoning Agent</w:t>
            </w:r>
          </w:p>
          <w:p>
            <w:pPr>
              <w:spacing w:after="0" w:before="120"/>
              <w:jc w:val="center"/>
            </w:pPr>
            <w:r>
              <w:rPr>
                <w:rFonts w:ascii="Arial" w:cs="Arial" w:eastAsia="Arial" w:hAnsi="Arial"/>
                <w:i/>
                <w:iCs/>
                <w:color w:val="D5E8F0"/>
                <w:sz w:val="20"/>
                <w:szCs w:val="20"/>
              </w:rPr>
              <w:t xml:space="preserve">Project Design &amp; Architecture Document  •  April 2026</w:t>
            </w:r>
          </w:p>
        </w:tc>
      </w:tr>
    </w:tbl>
    <w:p>
      <w:pPr>
        <w:spacing w:after="80" w:before="80"/>
      </w:pPr>
      <w:r>
        <w:t xml:space="preserve"/>
      </w:r>
    </w:p>
    <w:p>
      <w:pPr>
        <w:spacing w:after="80" w:before="80"/>
      </w:pPr>
      <w:r>
        <w:t xml:space="preserve"/>
      </w:r>
    </w:p>
    <w:p>
      <w:pPr>
        <w:pStyle w:val="Heading1"/>
        <w:pBdr>
          <w:bottom w:val="single" w:color="2E75B6" w:sz="8" w:space="4"/>
        </w:pBdr>
        <w:spacing w:after="160" w:before="400"/>
      </w:pPr>
      <w:r>
        <w:rPr>
          <w:rFonts w:ascii="Arial" w:cs="Arial" w:eastAsia="Arial" w:hAnsi="Arial"/>
          <w:b/>
          <w:bCs/>
          <w:color w:val="1E3A5F"/>
          <w:sz w:val="32"/>
          <w:szCs w:val="32"/>
        </w:rPr>
        <w:t xml:space="preserve">1. Problem Definition</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1.1 The Core Problem</w:t>
      </w:r>
    </w:p>
    <w:p>
      <w:pPr>
        <w:spacing w:after="80" w:before="80"/>
      </w:pPr>
      <w:r>
        <w:rPr>
          <w:rFonts w:ascii="Arial" w:cs="Arial" w:eastAsia="Arial" w:hAnsi="Arial"/>
          <w:color w:val="1A1A1A"/>
          <w:sz w:val="22"/>
          <w:szCs w:val="22"/>
        </w:rPr>
        <w:t xml:space="preserve">Every clinical trial publishes a detailed eligibility protocol — a list of 20 to 40 inclusion and exclusion criteria written in dense medical language. Before a patient can be enrolled, someone must manually read through that entire protocol and determine, criterion by criterion, whether the patient qualifies.</w:t>
      </w:r>
    </w:p>
    <w:p>
      <w:pPr>
        <w:spacing w:after="80" w:before="80"/>
      </w:pPr>
      <w:r>
        <w:t xml:space="preserve"/>
      </w:r>
    </w:p>
    <w:p>
      <w:pPr>
        <w:spacing w:after="80" w:before="80"/>
      </w:pPr>
      <w:r>
        <w:rPr>
          <w:rFonts w:ascii="Arial" w:cs="Arial" w:eastAsia="Arial" w:hAnsi="Arial"/>
          <w:color w:val="1A1A1A"/>
          <w:sz w:val="22"/>
          <w:szCs w:val="22"/>
        </w:rPr>
        <w:t xml:space="preserve">This task is currently done by clinical research coordinators and physicians. It is slow, error-prone, and expensive. For a single patient being assessed against a single trial, the manual eligibility review takes 3 to 4 hours. Across an entire patient panel, across multiple candidate trials, the burden becomes the single largest bottleneck in clinical trial recruitment.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KEY STAT</w:t>
            </w:r>
          </w:p>
        </w:tc>
        <w:tc>
          <w:tcPr>
            <w:tcW w:type="dxa" w:w="8160"/>
            <w:tcBorders>
              <w:top w:val="none" w:color="FFFFFF" w:sz="0"/>
              <w:left w:val="none" w:color="FFFFFF" w:sz="0"/>
              <w:bottom w:val="none" w:color="FFFFFF" w:sz="0"/>
              <w:right w:val="none" w:color="FFFFFF" w:sz="0"/>
            </w:tcBorders>
            <w:shd w:fill="D5E8F0" w:val="clear"/>
            <w:tcMar>
              <w:top w:type="dxa" w:w="120"/>
              <w:left w:type="dxa" w:w="200"/>
              <w:bottom w:type="dxa" w:w="120"/>
              <w:right w:type="dxa" w:w="160"/>
            </w:tcMar>
          </w:tcPr>
          <w:p>
            <w:r>
              <w:rPr>
                <w:rFonts w:ascii="Arial" w:cs="Arial" w:eastAsia="Arial" w:hAnsi="Arial"/>
                <w:color w:val="1A1A1A"/>
                <w:sz w:val="21"/>
                <w:szCs w:val="21"/>
              </w:rPr>
              <w:t xml:space="preserve">80% of clinical trials fail to meet enrollment targets on time. Eligibility screening bottlenecks are among the most cited causes. (JAMA, Tufts CSDD)</w:t>
            </w:r>
          </w:p>
        </w:tc>
      </w:tr>
    </w:tbl>
    <w:p>
      <w:pPr>
        <w:spacing w:after="80" w:before="80"/>
      </w:pPr>
      <w:r>
        <w:t xml:space="preserve"/>
      </w:r>
    </w:p>
    <w:p>
      <w:pPr>
        <w:pStyle w:val="Heading2"/>
        <w:spacing w:after="120" w:before="320"/>
      </w:pPr>
      <w:r>
        <w:rPr>
          <w:rFonts w:ascii="Arial" w:cs="Arial" w:eastAsia="Arial" w:hAnsi="Arial"/>
          <w:b/>
          <w:bCs/>
          <w:color w:val="2E75B6"/>
          <w:sz w:val="26"/>
          <w:szCs w:val="26"/>
        </w:rPr>
        <w:t xml:space="preserve">1.2 Why Existing Tools Fail</w:t>
      </w:r>
    </w:p>
    <w:p>
      <w:pPr>
        <w:spacing w:after="80" w:before="80"/>
      </w:pPr>
      <w:r>
        <w:rPr>
          <w:rFonts w:ascii="Arial" w:cs="Arial" w:eastAsia="Arial" w:hAnsi="Arial"/>
          <w:color w:val="1A1A1A"/>
          <w:sz w:val="22"/>
          <w:szCs w:val="22"/>
        </w:rPr>
        <w:t xml:space="preserve">A common misconception is that this problem is already solved. ClinicalTrials.gov, TrialSpark, Antidote, and similar platforms offer trial matching — but what they do is keyword matching. They scan a patient record for condition keywords and return a list of trials where those keywords appear in the protocol.</w:t>
      </w:r>
    </w:p>
    <w:p>
      <w:pPr>
        <w:spacing w:after="80" w:before="80"/>
      </w:pPr>
      <w:r>
        <w:t xml:space="preserve"/>
      </w:r>
    </w:p>
    <w:p>
      <w:pPr>
        <w:spacing w:after="80" w:before="80"/>
      </w:pPr>
      <w:r>
        <w:rPr>
          <w:rFonts w:ascii="Arial" w:cs="Arial" w:eastAsia="Arial" w:hAnsi="Arial"/>
          <w:color w:val="1A1A1A"/>
          <w:sz w:val="22"/>
          <w:szCs w:val="22"/>
        </w:rPr>
        <w:t xml:space="preserve">The matching step is not the hard part. The reasoning step is. Once a candidate trial is identified, someone still has to read the full eligibility criteria and reason through each one against the patient's specific profile. Existing tools do not do this. The coordinator still does it manually.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Capability</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Existing Tools vs. TrialMatch AI</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E3A5F"/>
                <w:sz w:val="20"/>
                <w:szCs w:val="20"/>
              </w:rPr>
              <w:t xml:space="preserve">Trial discovery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Both do this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E3A5F"/>
                <w:sz w:val="20"/>
                <w:szCs w:val="20"/>
              </w:rPr>
              <w:t xml:space="preserve">Keyword matching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Existing tools only</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E3A5F"/>
                <w:sz w:val="20"/>
                <w:szCs w:val="20"/>
              </w:rPr>
              <w:t xml:space="preserve">Criterion-by-criterion reasoning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TrialMatch AI only</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E3A5F"/>
                <w:sz w:val="20"/>
                <w:szCs w:val="20"/>
              </w:rPr>
              <w:t xml:space="preserve">Uncertain / borderline flags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TrialMatch AI only</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E3A5F"/>
                <w:sz w:val="20"/>
                <w:szCs w:val="20"/>
              </w:rPr>
              <w:t xml:space="preserve">Waiver path identification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TrialMatch AI only</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E3A5F"/>
                <w:sz w:val="20"/>
                <w:szCs w:val="20"/>
              </w:rPr>
              <w:t xml:space="preserve">Actionable coordinator brief</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TrialMatch AI only</w:t>
            </w:r>
          </w:p>
        </w:tc>
      </w:tr>
    </w:tbl>
    <w:p>
      <w:pPr>
        <w:spacing w:after="80" w:before="80"/>
      </w:pPr>
      <w:r>
        <w:t xml:space="preserve"/>
      </w:r>
    </w:p>
    <w:p>
      <w:pPr>
        <w:pStyle w:val="Heading2"/>
        <w:spacing w:after="120" w:before="320"/>
      </w:pPr>
      <w:r>
        <w:rPr>
          <w:rFonts w:ascii="Arial" w:cs="Arial" w:eastAsia="Arial" w:hAnsi="Arial"/>
          <w:b/>
          <w:bCs/>
          <w:color w:val="2E75B6"/>
          <w:sz w:val="26"/>
          <w:szCs w:val="26"/>
        </w:rPr>
        <w:t xml:space="preserve">1.3 The Specific Gap</w:t>
      </w:r>
    </w:p>
    <w:p>
      <w:pPr>
        <w:spacing w:after="80" w:before="80"/>
      </w:pPr>
      <w:r>
        <w:rPr>
          <w:rFonts w:ascii="Arial" w:cs="Arial" w:eastAsia="Arial" w:hAnsi="Arial"/>
          <w:color w:val="1A1A1A"/>
          <w:sz w:val="22"/>
          <w:szCs w:val="22"/>
        </w:rPr>
        <w:t xml:space="preserve">The unsolved problem is this: given a specific patient and a specific trial, can a system read the full eligibility protocol and produce a structured, reasoned verdict for every criterion — distinguishing clear passes, clear fails, and uncertain cases that need physician clarification — in a format a coordinator can immediately act on?</w:t>
      </w:r>
    </w:p>
    <w:p>
      <w:pPr>
        <w:spacing w:after="80" w:before="80"/>
      </w:pPr>
      <w:r>
        <w:t xml:space="preserve"/>
      </w:r>
    </w:p>
    <w:p>
      <w:pPr>
        <w:spacing w:after="80" w:before="80"/>
      </w:pPr>
      <w:r>
        <w:rPr>
          <w:rFonts w:ascii="Arial" w:cs="Arial" w:eastAsia="Arial" w:hAnsi="Arial"/>
          <w:color w:val="1A1A1A"/>
          <w:sz w:val="22"/>
          <w:szCs w:val="22"/>
        </w:rPr>
        <w:t xml:space="preserve">No existing product does this. TrialMatch AI is built to solve exactly this gap.</w:t>
      </w:r>
    </w:p>
    <w:p>
      <w:pPr>
        <w:pBdr>
          <w:bottom w:val="single" w:color="E0E0E0" w:sz="2" w:space="1"/>
        </w:pBdr>
        <w:spacing w:after="200" w:before="200"/>
      </w:pPr>
      <w:r>
        <w:t xml:space="preserve"/>
      </w:r>
    </w:p>
    <w:p>
      <w:pPr>
        <w:pStyle w:val="Heading1"/>
        <w:pBdr>
          <w:bottom w:val="single" w:color="2E75B6" w:sz="8" w:space="4"/>
        </w:pBdr>
        <w:spacing w:after="160" w:before="400"/>
      </w:pPr>
      <w:r>
        <w:rPr>
          <w:rFonts w:ascii="Arial" w:cs="Arial" w:eastAsia="Arial" w:hAnsi="Arial"/>
          <w:b/>
          <w:bCs/>
          <w:color w:val="1E3A5F"/>
          <w:sz w:val="32"/>
          <w:szCs w:val="32"/>
        </w:rPr>
        <w:t xml:space="preserve">2. Who Faces This Problem</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2.1 Primary Users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User</w:t>
            </w:r>
          </w:p>
        </w:tc>
        <w:tc>
          <w:tcPr>
            <w:tcW w:type="dxa" w:w="61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Pain Point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E3A5F"/>
                <w:sz w:val="20"/>
                <w:szCs w:val="20"/>
              </w:rPr>
              <w:t xml:space="preserve">Clinical Research Coordinators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Spend 3–4 hrs per patient manually reviewing eligibility criteria across candidate trials. This is often the majority of their working day.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E3A5F"/>
                <w:sz w:val="20"/>
                <w:szCs w:val="20"/>
              </w:rPr>
              <w:t xml:space="preserve">Oncologists &amp; Specialist Physicians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Trying to match complex patients (multiple comorbidities, prior treatments) against trials with long exclusion lists. Cannot afford hours per patient.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E3A5F"/>
                <w:sz w:val="20"/>
                <w:szCs w:val="20"/>
              </w:rPr>
              <w:t xml:space="preserve">Academic Medical Centers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Running 10–100+ active trials simultaneously, each requiring eligibility screening for incoming referrals. Coordinator bandwidth is a constant constraint.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E3A5F"/>
                <w:sz w:val="20"/>
                <w:szCs w:val="20"/>
              </w:rPr>
              <w:t xml:space="preserve">Pharma / CRO Trial Sponsors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Slow enrollment directly delays trial timelines and costs millions. Every week of delayed enrollment costs approximately $600K–$8M depending on phase.</w:t>
            </w:r>
          </w:p>
        </w:tc>
      </w:tr>
    </w:tbl>
    <w:p>
      <w:pPr>
        <w:spacing w:after="80" w:before="80"/>
      </w:pPr>
      <w:r>
        <w:t xml:space="preserve"/>
      </w:r>
    </w:p>
    <w:p>
      <w:pPr>
        <w:pStyle w:val="Heading2"/>
        <w:spacing w:after="120" w:before="320"/>
      </w:pPr>
      <w:r>
        <w:rPr>
          <w:rFonts w:ascii="Arial" w:cs="Arial" w:eastAsia="Arial" w:hAnsi="Arial"/>
          <w:b/>
          <w:bCs/>
          <w:color w:val="2E75B6"/>
          <w:sz w:val="26"/>
          <w:szCs w:val="26"/>
        </w:rPr>
        <w:t xml:space="preserve">2.2 Scale of the Problem</w:t>
      </w:r>
    </w:p>
    <w:p>
      <w:pPr>
        <w:pStyle w:val="ListParagraph"/>
        <w:numPr>
          <w:ilvl w:val="0"/>
          <w:numId w:val="2"/>
        </w:numPr>
        <w:spacing w:after="60" w:before="60"/>
      </w:pPr>
      <w:r>
        <w:rPr>
          <w:rFonts w:ascii="Arial" w:cs="Arial" w:eastAsia="Arial" w:hAnsi="Arial"/>
          <w:color w:val="1A1A1A"/>
          <w:sz w:val="22"/>
          <w:szCs w:val="22"/>
        </w:rPr>
        <w:t xml:space="preserve">Over 470,000 clinical trials are currently registered on ClinicalTrials.gov</w:t>
      </w:r>
    </w:p>
    <w:p>
      <w:pPr>
        <w:pStyle w:val="ListParagraph"/>
        <w:numPr>
          <w:ilvl w:val="0"/>
          <w:numId w:val="2"/>
        </w:numPr>
        <w:spacing w:after="60" w:before="60"/>
      </w:pPr>
      <w:r>
        <w:rPr>
          <w:rFonts w:ascii="Arial" w:cs="Arial" w:eastAsia="Arial" w:hAnsi="Arial"/>
          <w:color w:val="1A1A1A"/>
          <w:sz w:val="22"/>
          <w:szCs w:val="22"/>
        </w:rPr>
        <w:t xml:space="preserve">Approximately 85% of trials experience enrollment delays</w:t>
      </w:r>
    </w:p>
    <w:p>
      <w:pPr>
        <w:pStyle w:val="ListParagraph"/>
        <w:numPr>
          <w:ilvl w:val="0"/>
          <w:numId w:val="2"/>
        </w:numPr>
        <w:spacing w:after="60" w:before="60"/>
      </w:pPr>
      <w:r>
        <w:rPr>
          <w:rFonts w:ascii="Arial" w:cs="Arial" w:eastAsia="Arial" w:hAnsi="Arial"/>
          <w:color w:val="1A1A1A"/>
          <w:sz w:val="22"/>
          <w:szCs w:val="22"/>
        </w:rPr>
        <w:t xml:space="preserve">Manual eligibility review is cited as a top-3 bottleneck in trial operations surveys</w:t>
      </w:r>
    </w:p>
    <w:p>
      <w:pPr>
        <w:pStyle w:val="ListParagraph"/>
        <w:numPr>
          <w:ilvl w:val="0"/>
          <w:numId w:val="2"/>
        </w:numPr>
        <w:spacing w:after="60" w:before="60"/>
      </w:pPr>
      <w:r>
        <w:rPr>
          <w:rFonts w:ascii="Arial" w:cs="Arial" w:eastAsia="Arial" w:hAnsi="Arial"/>
          <w:color w:val="1A1A1A"/>
          <w:sz w:val="22"/>
          <w:szCs w:val="22"/>
        </w:rPr>
        <w:t xml:space="preserve">Research coordinators report spending 40–60% of their time on eligibility screening tasks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WHO WINS</w:t>
            </w:r>
          </w:p>
        </w:tc>
        <w:tc>
          <w:tcPr>
            <w:tcW w:type="dxa" w:w="8160"/>
            <w:tcBorders>
              <w:top w:val="none" w:color="FFFFFF" w:sz="0"/>
              <w:left w:val="none" w:color="FFFFFF" w:sz="0"/>
              <w:bottom w:val="none" w:color="FFFFFF" w:sz="0"/>
              <w:right w:val="none" w:color="FFFFFF" w:sz="0"/>
            </w:tcBorders>
            <w:shd w:fill="D5E8F0" w:val="clear"/>
            <w:tcMar>
              <w:top w:type="dxa" w:w="120"/>
              <w:left w:type="dxa" w:w="200"/>
              <w:bottom w:type="dxa" w:w="120"/>
              <w:right w:type="dxa" w:w="160"/>
            </w:tcMar>
          </w:tcPr>
          <w:p>
            <w:r>
              <w:rPr>
                <w:rFonts w:ascii="Arial" w:cs="Arial" w:eastAsia="Arial" w:hAnsi="Arial"/>
                <w:color w:val="1A1A1A"/>
                <w:sz w:val="21"/>
                <w:szCs w:val="21"/>
              </w:rPr>
              <w:t xml:space="preserve">The direct beneficiary of TrialMatch AI is the research coordinator. The downstream beneficiary is every patient who gets enrolled faster into a trial they need.</w:t>
            </w:r>
          </w:p>
        </w:tc>
      </w:tr>
    </w:tbl>
    <w:p>
      <w:pPr>
        <w:pBdr>
          <w:bottom w:val="single" w:color="E0E0E0" w:sz="2" w:space="1"/>
        </w:pBdr>
        <w:spacing w:after="200" w:before="200"/>
      </w:pPr>
      <w:r>
        <w:t xml:space="preserve"/>
      </w:r>
    </w:p>
    <w:p>
      <w:pPr>
        <w:pStyle w:val="Heading1"/>
        <w:pBdr>
          <w:bottom w:val="single" w:color="2E75B6" w:sz="8" w:space="4"/>
        </w:pBdr>
        <w:spacing w:after="160" w:before="400"/>
      </w:pPr>
      <w:r>
        <w:rPr>
          <w:rFonts w:ascii="Arial" w:cs="Arial" w:eastAsia="Arial" w:hAnsi="Arial"/>
          <w:b/>
          <w:bCs/>
          <w:color w:val="1E3A5F"/>
          <w:sz w:val="32"/>
          <w:szCs w:val="32"/>
        </w:rPr>
        <w:t xml:space="preserve">3. What We Have Built</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3.1 Solution Overview</w:t>
      </w:r>
    </w:p>
    <w:p>
      <w:pPr>
        <w:spacing w:after="80" w:before="80"/>
      </w:pPr>
      <w:r>
        <w:rPr>
          <w:rFonts w:ascii="Arial" w:cs="Arial" w:eastAsia="Arial" w:hAnsi="Arial"/>
          <w:color w:val="1A1A1A"/>
          <w:sz w:val="22"/>
          <w:szCs w:val="22"/>
        </w:rPr>
        <w:t xml:space="preserve">TrialMatch AI is a multi-step agentic reasoning system. It takes two inputs: a free-text patient summary (in any clinical format — discharge note, referral letter, EHR export) and a ClinicalTrials.gov trial ID. It produces one output: a structured eligibility brief that assesses every criterion in the trial protocol against the patient's profile.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ONE LINE</w:t>
            </w:r>
          </w:p>
        </w:tc>
        <w:tc>
          <w:tcPr>
            <w:tcW w:type="dxa" w:w="8160"/>
            <w:tcBorders>
              <w:top w:val="none" w:color="FFFFFF" w:sz="0"/>
              <w:left w:val="none" w:color="FFFFFF" w:sz="0"/>
              <w:bottom w:val="none" w:color="FFFFFF" w:sz="0"/>
              <w:right w:val="none" w:color="FFFFFF" w:sz="0"/>
            </w:tcBorders>
            <w:shd w:fill="D5E8F0" w:val="clear"/>
            <w:tcMar>
              <w:top w:type="dxa" w:w="120"/>
              <w:left w:type="dxa" w:w="200"/>
              <w:bottom w:type="dxa" w:w="120"/>
              <w:right w:type="dxa" w:w="160"/>
            </w:tcMar>
          </w:tcPr>
          <w:p>
            <w:r>
              <w:rPr>
                <w:rFonts w:ascii="Arial" w:cs="Arial" w:eastAsia="Arial" w:hAnsi="Arial"/>
                <w:color w:val="1A1A1A"/>
                <w:sz w:val="21"/>
                <w:szCs w:val="21"/>
              </w:rPr>
              <w:t xml:space="preserve">Paste a patient summary + a trial ID → get a complete, criterion-by-criterion eligibility verdict in under 2 minutes.</w:t>
            </w:r>
          </w:p>
        </w:tc>
      </w:tr>
    </w:tbl>
    <w:p>
      <w:pPr>
        <w:spacing w:after="80" w:before="80"/>
      </w:pPr>
      <w:r>
        <w:t xml:space="preserve"/>
      </w:r>
    </w:p>
    <w:p>
      <w:pPr>
        <w:pStyle w:val="Heading2"/>
        <w:spacing w:after="120" w:before="320"/>
      </w:pPr>
      <w:r>
        <w:rPr>
          <w:rFonts w:ascii="Arial" w:cs="Arial" w:eastAsia="Arial" w:hAnsi="Arial"/>
          <w:b/>
          <w:bCs/>
          <w:color w:val="2E75B6"/>
          <w:sz w:val="26"/>
          <w:szCs w:val="26"/>
        </w:rPr>
        <w:t xml:space="preserve">3.2 What the Output Looks Like</w:t>
      </w:r>
    </w:p>
    <w:p>
      <w:pPr>
        <w:spacing w:after="80" w:before="80"/>
      </w:pPr>
      <w:r>
        <w:rPr>
          <w:rFonts w:ascii="Arial" w:cs="Arial" w:eastAsia="Arial" w:hAnsi="Arial"/>
          <w:color w:val="1A1A1A"/>
          <w:sz w:val="22"/>
          <w:szCs w:val="22"/>
        </w:rPr>
        <w:t xml:space="preserve">The output brief contains three sections for each eligibility criterion in the trial protocol:</w:t>
      </w:r>
    </w:p>
    <w:p>
      <w:pPr>
        <w:spacing w:after="80" w:before="8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 MEETS / ❌ FAILS / ⚠️ UNCERTAIN: </w:t>
      </w:r>
      <w:r>
        <w:rPr>
          <w:rFonts w:ascii="Arial" w:cs="Arial" w:eastAsia="Arial" w:hAnsi="Arial"/>
          <w:color w:val="1A1A1A"/>
          <w:sz w:val="22"/>
          <w:szCs w:val="22"/>
        </w:rPr>
        <w:t xml:space="preserve">Verdict</w:t>
      </w:r>
    </w:p>
    <w:p>
      <w:pPr>
        <w:pStyle w:val="ListParagraph"/>
        <w:numPr>
          <w:ilvl w:val="0"/>
          <w:numId w:val="2"/>
        </w:numPr>
        <w:spacing w:after="60" w:before="60"/>
      </w:pPr>
      <w:r>
        <w:rPr>
          <w:rFonts w:ascii="Arial" w:cs="Arial" w:eastAsia="Arial" w:hAnsi="Arial"/>
          <w:b/>
          <w:bCs/>
          <w:color w:val="1A1A1A"/>
          <w:sz w:val="22"/>
          <w:szCs w:val="22"/>
        </w:rPr>
        <w:t xml:space="preserve">A plain-English explanation of why the criterion is met, failed, or uncertain, grounded in the patient data provided: </w:t>
      </w:r>
      <w:r>
        <w:rPr>
          <w:rFonts w:ascii="Arial" w:cs="Arial" w:eastAsia="Arial" w:hAnsi="Arial"/>
          <w:color w:val="1A1A1A"/>
          <w:sz w:val="22"/>
          <w:szCs w:val="22"/>
        </w:rPr>
        <w:t xml:space="preserve">Reasoning</w:t>
      </w:r>
    </w:p>
    <w:p>
      <w:pPr>
        <w:pStyle w:val="ListParagraph"/>
        <w:numPr>
          <w:ilvl w:val="0"/>
          <w:numId w:val="2"/>
        </w:numPr>
        <w:spacing w:after="60" w:before="60"/>
      </w:pPr>
      <w:r>
        <w:rPr>
          <w:rFonts w:ascii="Arial" w:cs="Arial" w:eastAsia="Arial" w:hAnsi="Arial"/>
          <w:b/>
          <w:bCs/>
          <w:color w:val="1A1A1A"/>
          <w:sz w:val="22"/>
          <w:szCs w:val="22"/>
        </w:rPr>
        <w:t xml:space="preserve">For each FAILS or UNCERTAIN: whether a waiver path exists, what clarifying information would resolve the uncertainty, or what question to ask the trial PI: </w:t>
      </w:r>
      <w:r>
        <w:rPr>
          <w:rFonts w:ascii="Arial" w:cs="Arial" w:eastAsia="Arial" w:hAnsi="Arial"/>
          <w:color w:val="1A1A1A"/>
          <w:sz w:val="22"/>
          <w:szCs w:val="22"/>
        </w:rPr>
        <w:t xml:space="preserve">Action</w:t>
      </w:r>
    </w:p>
    <w:p>
      <w:pPr>
        <w:spacing w:after="80" w:before="80"/>
      </w:pPr>
      <w:r>
        <w:t xml:space="preserve"/>
      </w:r>
    </w:p>
    <w:p>
      <w:pPr>
        <w:spacing w:after="80" w:before="80"/>
      </w:pPr>
      <w:r>
        <w:rPr>
          <w:rFonts w:ascii="Arial" w:cs="Arial" w:eastAsia="Arial" w:hAnsi="Arial"/>
          <w:color w:val="1A1A1A"/>
          <w:sz w:val="22"/>
          <w:szCs w:val="22"/>
        </w:rPr>
        <w:t xml:space="preserve">The brief closes with an overall enrollment recommendation: Likely Eligible, Likely Ineligible, or Requires Physician Review — with a summary of the decisive criteria.</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3.3 How We Solve It</w:t>
      </w:r>
    </w:p>
    <w:p>
      <w:pPr>
        <w:spacing w:after="80" w:before="80"/>
      </w:pPr>
      <w:r>
        <w:rPr>
          <w:rFonts w:ascii="Arial" w:cs="Arial" w:eastAsia="Arial" w:hAnsi="Arial"/>
          <w:color w:val="1A1A1A"/>
          <w:sz w:val="22"/>
          <w:szCs w:val="22"/>
        </w:rPr>
        <w:t xml:space="preserve">The system uses GLM-5.1 (or Claude as a development-phase substitute) as the core reasoning engine. GLM-5.1 is selected specifically because this task requires: long-context processing of trial protocols (often 1,200+ words of nested conditional logic), strict instruction following across 20–40 sequential criteria without losing track of the objective, and adaptive reasoning that scales depth of analysis to the complexity of each criterion.</w:t>
      </w:r>
    </w:p>
    <w:p>
      <w:pPr>
        <w:spacing w:after="80" w:before="80"/>
      </w:pPr>
      <w:r>
        <w:t xml:space="preserve"/>
      </w:r>
    </w:p>
    <w:p>
      <w:pPr>
        <w:spacing w:after="80" w:before="80"/>
      </w:pPr>
      <w:r>
        <w:rPr>
          <w:rFonts w:ascii="Arial" w:cs="Arial" w:eastAsia="Arial" w:hAnsi="Arial"/>
          <w:color w:val="1A1A1A"/>
          <w:sz w:val="22"/>
          <w:szCs w:val="22"/>
        </w:rPr>
        <w:t xml:space="preserve">The agent runs a structured loop: it does not simply pass everything to the model in one prompt. It orchestrates a sequence of focused subtasks, each with a clear input and output, building the final brief progressively.</w:t>
      </w:r>
    </w:p>
    <w:p>
      <w:pPr>
        <w:pBdr>
          <w:bottom w:val="single" w:color="E0E0E0" w:sz="2" w:space="1"/>
        </w:pBdr>
        <w:spacing w:after="200" w:before="200"/>
      </w:pPr>
      <w:r>
        <w:t xml:space="preserve"/>
      </w:r>
    </w:p>
    <w:p>
      <w:pPr>
        <w:pStyle w:val="Heading1"/>
        <w:pBdr>
          <w:bottom w:val="single" w:color="2E75B6" w:sz="8" w:space="4"/>
        </w:pBdr>
        <w:spacing w:after="160" w:before="400"/>
      </w:pPr>
      <w:r>
        <w:rPr>
          <w:rFonts w:ascii="Arial" w:cs="Arial" w:eastAsia="Arial" w:hAnsi="Arial"/>
          <w:b/>
          <w:bCs/>
          <w:color w:val="1E3A5F"/>
          <w:sz w:val="32"/>
          <w:szCs w:val="32"/>
        </w:rPr>
        <w:t xml:space="preserve">4. System Architecture</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4.1 High-Level Architecture</w:t>
      </w:r>
    </w:p>
    <w:p>
      <w:pPr>
        <w:spacing w:after="80" w:before="80"/>
      </w:pPr>
      <w:r>
        <w:rPr>
          <w:rFonts w:ascii="Arial" w:cs="Arial" w:eastAsia="Arial" w:hAnsi="Arial"/>
          <w:color w:val="1A1A1A"/>
          <w:sz w:val="22"/>
          <w:szCs w:val="22"/>
        </w:rPr>
        <w:t xml:space="preserve">The system is a 5-agent sequential pipeline with a shared context store. Each agent has a single responsibility. Agents communicate through a structured JSON state object that is passed forward and updated at each step. No agent has access to tools outside its defined scope.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DESIGN PRINCIPLE</w:t>
            </w:r>
          </w:p>
        </w:tc>
        <w:tc>
          <w:tcPr>
            <w:tcW w:type="dxa" w:w="8160"/>
            <w:tcBorders>
              <w:top w:val="none" w:color="FFFFFF" w:sz="0"/>
              <w:left w:val="none" w:color="FFFFFF" w:sz="0"/>
              <w:bottom w:val="none" w:color="FFFFFF" w:sz="0"/>
              <w:right w:val="none" w:color="FFFFFF" w:sz="0"/>
            </w:tcBorders>
            <w:shd w:fill="D5E8F0" w:val="clear"/>
            <w:tcMar>
              <w:top w:type="dxa" w:w="120"/>
              <w:left w:type="dxa" w:w="200"/>
              <w:bottom w:type="dxa" w:w="120"/>
              <w:right w:type="dxa" w:w="160"/>
            </w:tcMar>
          </w:tcPr>
          <w:p>
            <w:r>
              <w:rPr>
                <w:rFonts w:ascii="Arial" w:cs="Arial" w:eastAsia="Arial" w:hAnsi="Arial"/>
                <w:color w:val="1A1A1A"/>
                <w:sz w:val="21"/>
                <w:szCs w:val="21"/>
              </w:rPr>
              <w:t xml:space="preserve">One agent, one job. Each agent receives exactly what it needs, does one thing, and passes a clean output to the next. This prevents context pollution, makes debugging trivial, and allows any agent to be swapped or upgraded independently.</w:t>
            </w:r>
          </w:p>
        </w:tc>
      </w:tr>
    </w:tbl>
    <w:p>
      <w:pPr>
        <w:spacing w:after="80" w:before="80"/>
      </w:pPr>
      <w:r>
        <w:t xml:space="preserve"/>
      </w:r>
    </w:p>
    <w:p>
      <w:pPr>
        <w:pStyle w:val="Heading2"/>
        <w:spacing w:after="120" w:before="320"/>
      </w:pPr>
      <w:r>
        <w:rPr>
          <w:rFonts w:ascii="Arial" w:cs="Arial" w:eastAsia="Arial" w:hAnsi="Arial"/>
          <w:b/>
          <w:bCs/>
          <w:color w:val="2E75B6"/>
          <w:sz w:val="26"/>
          <w:szCs w:val="26"/>
        </w:rPr>
        <w:t xml:space="preserve">4.2 Agent Pipeline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Agent</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2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Input</w:t>
            </w:r>
          </w:p>
        </w:tc>
        <w:tc>
          <w:tcPr>
            <w:tcW w:type="dxa" w:w="2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19"/>
                <w:szCs w:val="19"/>
              </w:rPr>
              <w:t xml:space="preserve">Agent 1
Extractor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19"/>
                <w:szCs w:val="19"/>
              </w:rPr>
              <w:t xml:space="preserve">Parse patient summary into structured profile</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19"/>
                <w:szCs w:val="19"/>
              </w:rPr>
              <w:t xml:space="preserve">Free-text patient note (any format)</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19"/>
                <w:szCs w:val="19"/>
              </w:rPr>
              <w:t xml:space="preserve">JSON: conditions, medications, demographics, history, lab values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1A1A1A"/>
                <w:sz w:val="19"/>
                <w:szCs w:val="19"/>
              </w:rPr>
              <w:t xml:space="preserve">Agent 2
Fetcher</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1A1A1A"/>
                <w:sz w:val="19"/>
                <w:szCs w:val="19"/>
              </w:rPr>
              <w:t xml:space="preserve">Retrieve and parse trial protocol from ClinicalTrials.gov API</w:t>
            </w:r>
          </w:p>
        </w:tc>
        <w:tc>
          <w:tcPr>
            <w:tcW w:type="dxa" w:w="24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1A1A1A"/>
                <w:sz w:val="19"/>
                <w:szCs w:val="19"/>
              </w:rPr>
              <w:t xml:space="preserve">Trial NCT ID</w:t>
            </w:r>
          </w:p>
        </w:tc>
        <w:tc>
          <w:tcPr>
            <w:tcW w:type="dxa" w:w="24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1A1A1A"/>
                <w:sz w:val="19"/>
                <w:szCs w:val="19"/>
              </w:rPr>
              <w:t xml:space="preserve">JSON: trial metadata + raw eligibility criteria text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19"/>
                <w:szCs w:val="19"/>
              </w:rPr>
              <w:t xml:space="preserve">Agent 3
Parser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19"/>
                <w:szCs w:val="19"/>
              </w:rPr>
              <w:t xml:space="preserve">Segment eligibility criteria into individual items</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19"/>
                <w:szCs w:val="19"/>
              </w:rPr>
              <w:t xml:space="preserve">Raw eligibility text block</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19"/>
                <w:szCs w:val="19"/>
              </w:rPr>
              <w:t xml:space="preserve">JSON array: [{id, type: inclusion|exclusion, text}]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1A1A1A"/>
                <w:sz w:val="19"/>
                <w:szCs w:val="19"/>
              </w:rPr>
              <w:t xml:space="preserve">Agent 4
Reasoner</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1A1A1A"/>
                <w:sz w:val="19"/>
                <w:szCs w:val="19"/>
              </w:rPr>
              <w:t xml:space="preserve">Assess each criterion against patient profile</w:t>
            </w:r>
          </w:p>
        </w:tc>
        <w:tc>
          <w:tcPr>
            <w:tcW w:type="dxa" w:w="24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1A1A1A"/>
                <w:sz w:val="19"/>
                <w:szCs w:val="19"/>
              </w:rPr>
              <w:t xml:space="preserve">Patient JSON + criteria array</w:t>
            </w:r>
          </w:p>
        </w:tc>
        <w:tc>
          <w:tcPr>
            <w:tcW w:type="dxa" w:w="24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1A1A1A"/>
                <w:sz w:val="19"/>
                <w:szCs w:val="19"/>
              </w:rPr>
              <w:t xml:space="preserve">JSON array: [{criterion, verdict, reasoning, action}]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19"/>
                <w:szCs w:val="19"/>
              </w:rPr>
              <w:t xml:space="preserve">Agent 5
Briefer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19"/>
                <w:szCs w:val="19"/>
              </w:rPr>
              <w:t xml:space="preserve">Synthesize results into coordinator-ready document</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19"/>
                <w:szCs w:val="19"/>
              </w:rPr>
              <w:t xml:space="preserve">Full assessment array</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19"/>
                <w:szCs w:val="19"/>
              </w:rPr>
              <w:t xml:space="preserve">Structured eligibility brief (JSON → rendered PDF/HTML)</w:t>
            </w:r>
          </w:p>
        </w:tc>
      </w:tr>
    </w:tbl>
    <w:p>
      <w:pPr>
        <w:spacing w:after="80" w:before="80"/>
      </w:pPr>
      <w:r>
        <w:t xml:space="preserve"/>
      </w:r>
    </w:p>
    <w:p>
      <w:pPr>
        <w:pStyle w:val="Heading2"/>
        <w:spacing w:after="120" w:before="320"/>
      </w:pPr>
      <w:r>
        <w:rPr>
          <w:rFonts w:ascii="Arial" w:cs="Arial" w:eastAsia="Arial" w:hAnsi="Arial"/>
          <w:b/>
          <w:bCs/>
          <w:color w:val="2E75B6"/>
          <w:sz w:val="26"/>
          <w:szCs w:val="26"/>
        </w:rPr>
        <w:t xml:space="preserve">4.3 Agent 1: Patient Extractor</w:t>
      </w:r>
    </w:p>
    <w:p>
      <w:pPr>
        <w:spacing w:after="80" w:before="80"/>
      </w:pPr>
      <w:r>
        <w:rPr>
          <w:rFonts w:ascii="Arial" w:cs="Arial" w:eastAsia="Arial" w:hAnsi="Arial"/>
          <w:color w:val="1A1A1A"/>
          <w:sz w:val="22"/>
          <w:szCs w:val="22"/>
        </w:rPr>
        <w:t xml:space="preserve">Receives raw free-text patient summary. Extracts and normalizes: primary diagnosis and ICD codes where available, comorbidities, current medications and dosages, prior treatments (chemotherapy lines, surgeries, radiation), key lab values (ECOG score, organ function markers), age, sex, and relevant demographic flags.</w:t>
      </w:r>
    </w:p>
    <w:p>
      <w:pPr>
        <w:spacing w:after="80" w:before="80"/>
      </w:pPr>
      <w:r>
        <w:t xml:space="preserve"/>
      </w:r>
    </w:p>
    <w:p>
      <w:pPr>
        <w:spacing w:after="80" w:before="80"/>
      </w:pPr>
      <w:r>
        <w:rPr>
          <w:rFonts w:ascii="Arial" w:cs="Arial" w:eastAsia="Arial" w:hAnsi="Arial"/>
          <w:color w:val="1A1A1A"/>
          <w:sz w:val="22"/>
          <w:szCs w:val="22"/>
        </w:rPr>
        <w:t xml:space="preserve">Output is a canonical patient JSON object. This normalization step is critical — it means all downstream agents work with structured data rather than parsing free text repeatedly, which improves consistency and reduces hallucination risk.</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4.4 Agent 2: Trial Fetcher</w:t>
      </w:r>
    </w:p>
    <w:p>
      <w:pPr>
        <w:spacing w:after="80" w:before="80"/>
      </w:pPr>
      <w:r>
        <w:rPr>
          <w:rFonts w:ascii="Arial" w:cs="Arial" w:eastAsia="Arial" w:hAnsi="Arial"/>
          <w:color w:val="1A1A1A"/>
          <w:sz w:val="22"/>
          <w:szCs w:val="22"/>
        </w:rPr>
        <w:t xml:space="preserve">Makes a GET request to the ClinicalTrials.gov REST API v2 endpoint: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20"/>
              <w:left w:type="dxa" w:w="240"/>
              <w:bottom w:type="dxa" w:w="120"/>
              <w:right w:type="dxa" w:w="240"/>
            </w:tcMar>
          </w:tcPr>
          <w:p>
            <w:r>
              <w:rPr>
                <w:rFonts w:ascii="Courier New" w:cs="Courier New" w:eastAsia="Courier New" w:hAnsi="Courier New"/>
                <w:color w:val="1E3A5F"/>
                <w:sz w:val="20"/>
                <w:szCs w:val="20"/>
              </w:rPr>
              <w:t xml:space="preserve">GET https://clinicaltrials.gov/api/v2/studies/{nctId}</w:t>
            </w:r>
          </w:p>
        </w:tc>
      </w:tr>
    </w:tbl>
    <w:p>
      <w:pPr>
        <w:spacing w:after="80" w:before="80"/>
      </w:pPr>
      <w:r>
        <w:t xml:space="preserve"/>
      </w:r>
    </w:p>
    <w:p>
      <w:pPr>
        <w:spacing w:after="80" w:before="80"/>
      </w:pPr>
      <w:r>
        <w:rPr>
          <w:rFonts w:ascii="Arial" w:cs="Arial" w:eastAsia="Arial" w:hAnsi="Arial"/>
          <w:color w:val="1A1A1A"/>
          <w:sz w:val="22"/>
          <w:szCs w:val="22"/>
        </w:rPr>
        <w:t xml:space="preserve">No authentication required. Returns full trial JSON including title, phase, sponsor, status, and the eligibility module containing the full inclusion/exclusion criteria text. Agent extracts and returns the eligibility criteria block along with key trial metadata for context.</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4.5 Agent 3: Criteria Parser</w:t>
      </w:r>
    </w:p>
    <w:p>
      <w:pPr>
        <w:spacing w:after="80" w:before="80"/>
      </w:pPr>
      <w:r>
        <w:rPr>
          <w:rFonts w:ascii="Arial" w:cs="Arial" w:eastAsia="Arial" w:hAnsi="Arial"/>
          <w:color w:val="1A1A1A"/>
          <w:sz w:val="22"/>
          <w:szCs w:val="22"/>
        </w:rPr>
        <w:t xml:space="preserve">Takes the raw eligibility text block (which is typically one unstructured block of prose with numbered or bulleted criteria) and segments it into an array of individual criterion objects. Each object has a unique ID, a type (inclusion or exclusion), and the full text of that criterion.</w:t>
      </w:r>
    </w:p>
    <w:p>
      <w:pPr>
        <w:spacing w:after="80" w:before="80"/>
      </w:pPr>
      <w:r>
        <w:t xml:space="preserve"/>
      </w:r>
    </w:p>
    <w:p>
      <w:pPr>
        <w:spacing w:after="80" w:before="80"/>
      </w:pPr>
      <w:r>
        <w:rPr>
          <w:rFonts w:ascii="Arial" w:cs="Arial" w:eastAsia="Arial" w:hAnsi="Arial"/>
          <w:color w:val="1A1A1A"/>
          <w:sz w:val="22"/>
          <w:szCs w:val="22"/>
        </w:rPr>
        <w:t xml:space="preserve">This parsing step is non-trivial because real trial eligibility sections use inconsistent formatting — mixed numbering, nested sub-criteria, implicit groupings, and prose transitions. The parser agent is instructed to handle all of these and flag ambiguous cases rather than guess.</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4.6 Agent 4: Eligibility Reasoner (Core Agent)</w:t>
      </w:r>
    </w:p>
    <w:p>
      <w:pPr>
        <w:spacing w:after="80" w:before="80"/>
      </w:pPr>
      <w:r>
        <w:rPr>
          <w:rFonts w:ascii="Arial" w:cs="Arial" w:eastAsia="Arial" w:hAnsi="Arial"/>
          <w:color w:val="1A1A1A"/>
          <w:sz w:val="22"/>
          <w:szCs w:val="22"/>
        </w:rPr>
        <w:t xml:space="preserve">This is the central reasoning agent. It receives the patient JSON and the parsed criteria array. For each criterion, it runs a focused assessment:</w:t>
      </w:r>
    </w:p>
    <w:p>
      <w:pPr>
        <w:spacing w:after="8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Read the criterion text carefully</w:t>
      </w:r>
    </w:p>
    <w:p>
      <w:pPr>
        <w:pStyle w:val="ListParagraph"/>
        <w:numPr>
          <w:ilvl w:val="0"/>
          <w:numId w:val="2"/>
        </w:numPr>
        <w:spacing w:after="60" w:before="60"/>
      </w:pPr>
      <w:r>
        <w:rPr>
          <w:rFonts w:ascii="Arial" w:cs="Arial" w:eastAsia="Arial" w:hAnsi="Arial"/>
          <w:color w:val="1A1A1A"/>
          <w:sz w:val="22"/>
          <w:szCs w:val="22"/>
        </w:rPr>
        <w:t xml:space="preserve">Identify which patient attributes are relevant to this criterion</w:t>
      </w:r>
    </w:p>
    <w:p>
      <w:pPr>
        <w:pStyle w:val="ListParagraph"/>
        <w:numPr>
          <w:ilvl w:val="0"/>
          <w:numId w:val="2"/>
        </w:numPr>
        <w:spacing w:after="60" w:before="60"/>
      </w:pPr>
      <w:r>
        <w:rPr>
          <w:rFonts w:ascii="Arial" w:cs="Arial" w:eastAsia="Arial" w:hAnsi="Arial"/>
          <w:color w:val="1A1A1A"/>
          <w:sz w:val="22"/>
          <w:szCs w:val="22"/>
        </w:rPr>
        <w:t xml:space="preserve">Determine if the patient data contains sufficient information to make a determination</w:t>
      </w:r>
    </w:p>
    <w:p>
      <w:pPr>
        <w:pStyle w:val="ListParagraph"/>
        <w:numPr>
          <w:ilvl w:val="0"/>
          <w:numId w:val="2"/>
        </w:numPr>
        <w:spacing w:after="60" w:before="60"/>
      </w:pPr>
      <w:r>
        <w:rPr>
          <w:rFonts w:ascii="Arial" w:cs="Arial" w:eastAsia="Arial" w:hAnsi="Arial"/>
          <w:color w:val="1A1A1A"/>
          <w:sz w:val="22"/>
          <w:szCs w:val="22"/>
        </w:rPr>
        <w:t xml:space="preserve">If yes: render a MEETS or FAILS verdict with specific reasoning</w:t>
      </w:r>
    </w:p>
    <w:p>
      <w:pPr>
        <w:pStyle w:val="ListParagraph"/>
        <w:numPr>
          <w:ilvl w:val="0"/>
          <w:numId w:val="2"/>
        </w:numPr>
        <w:spacing w:after="60" w:before="60"/>
      </w:pPr>
      <w:r>
        <w:rPr>
          <w:rFonts w:ascii="Arial" w:cs="Arial" w:eastAsia="Arial" w:hAnsi="Arial"/>
          <w:color w:val="1A1A1A"/>
          <w:sz w:val="22"/>
          <w:szCs w:val="22"/>
        </w:rPr>
        <w:t xml:space="preserve">If no: render UNCERTAIN with a specific statement of what information is missing</w:t>
      </w:r>
    </w:p>
    <w:p>
      <w:pPr>
        <w:pStyle w:val="ListParagraph"/>
        <w:numPr>
          <w:ilvl w:val="0"/>
          <w:numId w:val="2"/>
        </w:numPr>
        <w:spacing w:after="60" w:before="60"/>
      </w:pPr>
      <w:r>
        <w:rPr>
          <w:rFonts w:ascii="Arial" w:cs="Arial" w:eastAsia="Arial" w:hAnsi="Arial"/>
          <w:color w:val="1A1A1A"/>
          <w:sz w:val="22"/>
          <w:szCs w:val="22"/>
        </w:rPr>
        <w:t xml:space="preserve">For FAILS and UNCERTAIN: reason about whether a waiver path exists or what clarifying question resolves it</w:t>
      </w:r>
    </w:p>
    <w:p>
      <w:pPr>
        <w:spacing w:after="80" w:before="80"/>
      </w:pPr>
      <w:r>
        <w:t xml:space="preserve"/>
      </w:r>
    </w:p>
    <w:p>
      <w:pPr>
        <w:spacing w:after="80" w:before="80"/>
      </w:pPr>
      <w:r>
        <w:rPr>
          <w:rFonts w:ascii="Arial" w:cs="Arial" w:eastAsia="Arial" w:hAnsi="Arial"/>
          <w:color w:val="1A1A1A"/>
          <w:sz w:val="22"/>
          <w:szCs w:val="22"/>
        </w:rPr>
        <w:t xml:space="preserve">Critically, the reasoner processes criteria sequentially within a single structured prompt rather than in separate API calls. This preserves coherence across related criteria (e.g., if criterion 3 and criterion 7 are related to the same lab value, the reasoner can cross-reference them). The output is a fully populated assessment array.</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4.7 Agent 5: Brief Generator</w:t>
      </w:r>
    </w:p>
    <w:p>
      <w:pPr>
        <w:spacing w:after="80" w:before="80"/>
      </w:pPr>
      <w:r>
        <w:rPr>
          <w:rFonts w:ascii="Arial" w:cs="Arial" w:eastAsia="Arial" w:hAnsi="Arial"/>
          <w:color w:val="1A1A1A"/>
          <w:sz w:val="22"/>
          <w:szCs w:val="22"/>
        </w:rPr>
        <w:t xml:space="preserve">Takes the completed assessment array and renders the final coordinator brief. The brief is structured as follows: trial and patient header, overall enrollment recommendation, a criterion-by-criterion table with verdict, reasoning, and action columns, a summary of decisive factors, and a list of open questions for physician review.</w:t>
      </w:r>
    </w:p>
    <w:p>
      <w:pPr>
        <w:spacing w:after="80" w:before="80"/>
      </w:pPr>
      <w:r>
        <w:t xml:space="preserve"/>
      </w:r>
    </w:p>
    <w:p>
      <w:pPr>
        <w:spacing w:after="80" w:before="80"/>
      </w:pPr>
      <w:r>
        <w:rPr>
          <w:rFonts w:ascii="Arial" w:cs="Arial" w:eastAsia="Arial" w:hAnsi="Arial"/>
          <w:color w:val="1A1A1A"/>
          <w:sz w:val="22"/>
          <w:szCs w:val="22"/>
        </w:rPr>
        <w:t xml:space="preserve">The brief is generated in both JSON (for programmatic use) and a rendered HTML/PDF format for immediate use by coordinators.</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4.8 State Object Schema</w:t>
      </w:r>
    </w:p>
    <w:p>
      <w:pPr>
        <w:spacing w:after="80" w:before="80"/>
      </w:pPr>
      <w:r>
        <w:rPr>
          <w:rFonts w:ascii="Arial" w:cs="Arial" w:eastAsia="Arial" w:hAnsi="Arial"/>
          <w:color w:val="1A1A1A"/>
          <w:sz w:val="22"/>
          <w:szCs w:val="22"/>
        </w:rPr>
        <w:t xml:space="preserve">The shared state object passed between agents has the following 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0"/>
              <w:left w:type="dxa" w:w="240"/>
              <w:bottom w:type="dxa" w:w="160"/>
              <w:right w:type="dxa" w:w="240"/>
            </w:tcMar>
          </w:tcPr>
          <w:p>
            <w:r>
              <w:rPr>
                <w:rFonts w:ascii="Courier New" w:cs="Courier New" w:eastAsia="Courier New" w:hAnsi="Courier New"/>
                <w:color w:val="1A1A1A"/>
                <w:sz w:val="19"/>
                <w:szCs w:val="19"/>
              </w:rPr>
              <w:t xml:space="preserve">{</w:t>
            </w:r>
          </w:p>
          <w:p>
            <w:r>
              <w:rPr>
                <w:rFonts w:ascii="Courier New" w:cs="Courier New" w:eastAsia="Courier New" w:hAnsi="Courier New"/>
                <w:color w:val="1A1A1A"/>
                <w:sz w:val="19"/>
                <w:szCs w:val="19"/>
              </w:rPr>
              <w:t xml:space="preserve">  "patient": { ...structured patient profile },</w:t>
            </w:r>
          </w:p>
          <w:p>
            <w:r>
              <w:rPr>
                <w:rFonts w:ascii="Courier New" w:cs="Courier New" w:eastAsia="Courier New" w:hAnsi="Courier New"/>
                <w:color w:val="1A1A1A"/>
                <w:sz w:val="19"/>
                <w:szCs w:val="19"/>
              </w:rPr>
              <w:t xml:space="preserve">  "trial": { "nctId": "...", "title": "...", "phase": "...", "eligibilityRaw": "..." },</w:t>
            </w:r>
          </w:p>
          <w:p>
            <w:r>
              <w:rPr>
                <w:rFonts w:ascii="Courier New" w:cs="Courier New" w:eastAsia="Courier New" w:hAnsi="Courier New"/>
                <w:color w:val="1A1A1A"/>
                <w:sz w:val="19"/>
                <w:szCs w:val="19"/>
              </w:rPr>
              <w:t xml:space="preserve">  "criteria": [ { "id": 1, "type": "inclusion|exclusion", "text": "..." } ],</w:t>
            </w:r>
          </w:p>
          <w:p>
            <w:r>
              <w:rPr>
                <w:rFonts w:ascii="Courier New" w:cs="Courier New" w:eastAsia="Courier New" w:hAnsi="Courier New"/>
                <w:color w:val="1A1A1A"/>
                <w:sz w:val="19"/>
                <w:szCs w:val="19"/>
              </w:rPr>
              <w:t xml:space="preserve">  "assessments": [ { "criterionId": 1, "verdict": "MEETS|FAILS|UNCERTAIN",</w:t>
            </w:r>
          </w:p>
          <w:p>
            <w:r>
              <w:rPr>
                <w:rFonts w:ascii="Courier New" w:cs="Courier New" w:eastAsia="Courier New" w:hAnsi="Courier New"/>
                <w:color w:val="1A1A1A"/>
                <w:sz w:val="19"/>
                <w:szCs w:val="19"/>
              </w:rPr>
              <w:t xml:space="preserve">      "reasoning": "...", "action": "..." } ],</w:t>
            </w:r>
          </w:p>
          <w:p>
            <w:r>
              <w:rPr>
                <w:rFonts w:ascii="Courier New" w:cs="Courier New" w:eastAsia="Courier New" w:hAnsi="Courier New"/>
                <w:color w:val="1A1A1A"/>
                <w:sz w:val="19"/>
                <w:szCs w:val="19"/>
              </w:rPr>
              <w:t xml:space="preserve">  "brief": { "recommendation": "...", "summary": "...", "openQuestions": [...] }</w:t>
            </w:r>
          </w:p>
          <w:p>
            <w:r>
              <w:rPr>
                <w:rFonts w:ascii="Courier New" w:cs="Courier New" w:eastAsia="Courier New" w:hAnsi="Courier New"/>
                <w:color w:val="1A1A1A"/>
                <w:sz w:val="19"/>
                <w:szCs w:val="19"/>
              </w:rPr>
              <w:t xml:space="preserve">}</w:t>
            </w:r>
          </w:p>
        </w:tc>
      </w:tr>
    </w:tbl>
    <w:p>
      <w:pPr>
        <w:spacing w:after="80" w:before="80"/>
      </w:pPr>
      <w:r>
        <w:t xml:space="preserve"/>
      </w:r>
    </w:p>
    <w:p>
      <w:pPr>
        <w:pStyle w:val="Heading2"/>
        <w:spacing w:after="120" w:before="320"/>
      </w:pPr>
      <w:r>
        <w:rPr>
          <w:rFonts w:ascii="Arial" w:cs="Arial" w:eastAsia="Arial" w:hAnsi="Arial"/>
          <w:b/>
          <w:bCs/>
          <w:color w:val="2E75B6"/>
          <w:sz w:val="26"/>
          <w:szCs w:val="26"/>
        </w:rPr>
        <w:t xml:space="preserve">4.9 Error Handling &amp; Guardrails</w:t>
      </w:r>
    </w:p>
    <w:p>
      <w:pPr>
        <w:pStyle w:val="ListParagraph"/>
        <w:numPr>
          <w:ilvl w:val="0"/>
          <w:numId w:val="2"/>
        </w:numPr>
        <w:spacing w:after="60" w:before="60"/>
      </w:pPr>
      <w:r>
        <w:rPr>
          <w:rFonts w:ascii="Arial" w:cs="Arial" w:eastAsia="Arial" w:hAnsi="Arial"/>
          <w:color w:val="1A1A1A"/>
          <w:sz w:val="22"/>
          <w:szCs w:val="22"/>
        </w:rPr>
        <w:t xml:space="preserve">If patient data is insufficient to assess a criterion, the system always flags UNCERTAIN rather than guessing</w:t>
      </w:r>
    </w:p>
    <w:p>
      <w:pPr>
        <w:pStyle w:val="ListParagraph"/>
        <w:numPr>
          <w:ilvl w:val="0"/>
          <w:numId w:val="2"/>
        </w:numPr>
        <w:spacing w:after="60" w:before="60"/>
      </w:pPr>
      <w:r>
        <w:rPr>
          <w:rFonts w:ascii="Arial" w:cs="Arial" w:eastAsia="Arial" w:hAnsi="Arial"/>
          <w:color w:val="1A1A1A"/>
          <w:sz w:val="22"/>
          <w:szCs w:val="22"/>
        </w:rPr>
        <w:t xml:space="preserve">If the ClinicalTrials.gov API returns no eligibility text, the system halts and returns a clear error rather than proceeding with incomplete data</w:t>
      </w:r>
    </w:p>
    <w:p>
      <w:pPr>
        <w:pStyle w:val="ListParagraph"/>
        <w:numPr>
          <w:ilvl w:val="0"/>
          <w:numId w:val="2"/>
        </w:numPr>
        <w:spacing w:after="60" w:before="60"/>
      </w:pPr>
      <w:r>
        <w:rPr>
          <w:rFonts w:ascii="Arial" w:cs="Arial" w:eastAsia="Arial" w:hAnsi="Arial"/>
          <w:color w:val="1A1A1A"/>
          <w:sz w:val="22"/>
          <w:szCs w:val="22"/>
        </w:rPr>
        <w:t xml:space="preserve">The system explicitly labels itself as a decision-support tool, not a diagnostic system. The output brief includes a mandatory disclaimer that all findings require physician review before any enrollment decision</w:t>
      </w:r>
    </w:p>
    <w:p>
      <w:pPr>
        <w:pStyle w:val="ListParagraph"/>
        <w:numPr>
          <w:ilvl w:val="0"/>
          <w:numId w:val="2"/>
        </w:numPr>
        <w:spacing w:after="60" w:before="60"/>
      </w:pPr>
      <w:r>
        <w:rPr>
          <w:rFonts w:ascii="Arial" w:cs="Arial" w:eastAsia="Arial" w:hAnsi="Arial"/>
          <w:color w:val="1A1A1A"/>
          <w:sz w:val="22"/>
          <w:szCs w:val="22"/>
        </w:rPr>
        <w:t xml:space="preserve">No patient data is stored. Each session is stateless. The state object exists only in memory for the duration of the run</w:t>
      </w:r>
    </w:p>
    <w:p>
      <w:pPr>
        <w:pBdr>
          <w:bottom w:val="single" w:color="E0E0E0" w:sz="2" w:space="1"/>
        </w:pBdr>
        <w:spacing w:after="200" w:before="200"/>
      </w:pPr>
      <w:r>
        <w:t xml:space="preserve"/>
      </w:r>
    </w:p>
    <w:p>
      <w:pPr>
        <w:pStyle w:val="Heading1"/>
        <w:pBdr>
          <w:bottom w:val="single" w:color="2E75B6" w:sz="8" w:space="4"/>
        </w:pBdr>
        <w:spacing w:after="160" w:before="400"/>
      </w:pPr>
      <w:r>
        <w:rPr>
          <w:rFonts w:ascii="Arial" w:cs="Arial" w:eastAsia="Arial" w:hAnsi="Arial"/>
          <w:b/>
          <w:bCs/>
          <w:color w:val="1E3A5F"/>
          <w:sz w:val="32"/>
          <w:szCs w:val="32"/>
        </w:rPr>
        <w:t xml:space="preserve">5. Tech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E3A5F"/>
                <w:sz w:val="20"/>
                <w:szCs w:val="20"/>
              </w:rPr>
              <w:t xml:space="preserve">Core Reasoning Model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GLM-5.1 via Z.ai API (Claude API as dev-phase substitute — one-line swap on approval)</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E3A5F"/>
                <w:sz w:val="20"/>
                <w:szCs w:val="20"/>
              </w:rPr>
              <w:t xml:space="preserve">Backend Runtime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Node.js with Express — lightweight, fast, easy API proxying</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E3A5F"/>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React + Next.js — clean UI for patient summary input, trial ID entry, and brief rendering</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E3A5F"/>
                <w:sz w:val="20"/>
                <w:szCs w:val="20"/>
              </w:rPr>
              <w:t xml:space="preserve">Trial Data Source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ClinicalTrials.gov REST API v2 — free, no authentication, returns full trial JSON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E3A5F"/>
                <w:sz w:val="20"/>
                <w:szCs w:val="20"/>
              </w:rPr>
              <w:t xml:space="preserve">Agent Orchestration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Custom sequential pipeline — no heavyweight framework; each agent is a focused async function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E3A5F"/>
                <w:sz w:val="20"/>
                <w:szCs w:val="20"/>
              </w:rPr>
              <w:t xml:space="preserve">Brief Rendering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HTML output with print-to-PDF support; JSON output for programmatic use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E3A5F"/>
                <w:sz w:val="20"/>
                <w:szCs w:val="20"/>
              </w:rPr>
              <w:t xml:space="preserve">State Management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In-memory JSON state object — no database, fully stateless per session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E3A5F"/>
                <w:sz w:val="20"/>
                <w:szCs w:val="20"/>
              </w:rPr>
              <w:t xml:space="preserve">Deployment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Vercel (frontend) + Railway or Render (backend API) — deployable in under 30 minutes</w:t>
            </w:r>
          </w:p>
        </w:tc>
      </w:tr>
    </w:tbl>
    <w:p>
      <w:pPr>
        <w:spacing w:after="80" w:before="80"/>
      </w:pPr>
      <w:r>
        <w:t xml:space="preserve"/>
      </w:r>
    </w:p>
    <w:p>
      <w:pPr>
        <w:pStyle w:val="Heading2"/>
        <w:spacing w:after="120" w:before="320"/>
      </w:pPr>
      <w:r>
        <w:rPr>
          <w:rFonts w:ascii="Arial" w:cs="Arial" w:eastAsia="Arial" w:hAnsi="Arial"/>
          <w:b/>
          <w:bCs/>
          <w:color w:val="2E75B6"/>
          <w:sz w:val="26"/>
          <w:szCs w:val="26"/>
        </w:rPr>
        <w:t xml:space="preserve">5.1 Why This Stack</w:t>
      </w:r>
    </w:p>
    <w:p>
      <w:pPr>
        <w:spacing w:after="80" w:before="80"/>
      </w:pPr>
      <w:r>
        <w:rPr>
          <w:rFonts w:ascii="Arial" w:cs="Arial" w:eastAsia="Arial" w:hAnsi="Arial"/>
          <w:color w:val="1A1A1A"/>
          <w:sz w:val="22"/>
          <w:szCs w:val="22"/>
        </w:rPr>
        <w:t xml:space="preserve">The stack is chosen to maximize build speed, demo reliability, and clarity of the agentic architecture. No heavyweight frameworks (LangChain, AutoGen) are used — the pipeline is hand-rolled so that every step is transparent, debuggable, and easy to demo. The model swap from Claude to GLM-5.1 requires changing one environment variable and one model string.</w:t>
      </w:r>
    </w:p>
    <w:p>
      <w:pPr>
        <w:pBdr>
          <w:bottom w:val="single" w:color="E0E0E0" w:sz="2" w:space="1"/>
        </w:pBdr>
        <w:spacing w:after="200" w:before="200"/>
      </w:pPr>
      <w:r>
        <w:t xml:space="preserve"/>
      </w:r>
    </w:p>
    <w:p>
      <w:pPr>
        <w:pStyle w:val="Heading1"/>
        <w:pBdr>
          <w:bottom w:val="single" w:color="2E75B6" w:sz="8" w:space="4"/>
        </w:pBdr>
        <w:spacing w:after="160" w:before="400"/>
      </w:pPr>
      <w:r>
        <w:rPr>
          <w:rFonts w:ascii="Arial" w:cs="Arial" w:eastAsia="Arial" w:hAnsi="Arial"/>
          <w:b/>
          <w:bCs/>
          <w:color w:val="1E3A5F"/>
          <w:sz w:val="32"/>
          <w:szCs w:val="32"/>
        </w:rPr>
        <w:t xml:space="preserve">6. Deliverables</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6.1 Hackathon Submission Deliverables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Deliverable</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E3A5F"/>
                <w:sz w:val="20"/>
                <w:szCs w:val="20"/>
              </w:rPr>
              <w:t xml:space="preserve">Working Demo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Live web application: user inputs patient summary + NCT ID, receives full eligibility brief in under 2 minutes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E3A5F"/>
                <w:sz w:val="20"/>
                <w:szCs w:val="20"/>
              </w:rPr>
              <w:t xml:space="preserve">Demo Video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60–90 second screen recording showing end-to-end run on a real oncology trial from ClinicalTrials.gov</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E3A5F"/>
                <w:sz w:val="20"/>
                <w:szCs w:val="20"/>
              </w:rPr>
              <w:t xml:space="preserve">GitHub Repository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Public repo with full source code, detailed README, setup instructions, and architecture diagram</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E3A5F"/>
                <w:sz w:val="20"/>
                <w:szCs w:val="20"/>
              </w:rPr>
              <w:t xml:space="preserve">X (Twitter) Thread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Thread tagging @cara_catowner and #buildwithGLM explaining the problem, demo, and technical approach</w:t>
            </w:r>
          </w:p>
        </w:tc>
      </w:tr>
    </w:tbl>
    <w:p>
      <w:pPr>
        <w:spacing w:after="80" w:before="80"/>
      </w:pPr>
      <w:r>
        <w:t xml:space="preserve"/>
      </w:r>
    </w:p>
    <w:p>
      <w:pPr>
        <w:pStyle w:val="Heading2"/>
        <w:spacing w:after="120" w:before="320"/>
      </w:pPr>
      <w:r>
        <w:rPr>
          <w:rFonts w:ascii="Arial" w:cs="Arial" w:eastAsia="Arial" w:hAnsi="Arial"/>
          <w:b/>
          <w:bCs/>
          <w:color w:val="2E75B6"/>
          <w:sz w:val="26"/>
          <w:szCs w:val="26"/>
        </w:rPr>
        <w:t xml:space="preserve">6.2 Technical Deliverables</w:t>
      </w:r>
    </w:p>
    <w:p>
      <w:pPr>
        <w:pStyle w:val="ListParagraph"/>
        <w:numPr>
          <w:ilvl w:val="0"/>
          <w:numId w:val="2"/>
        </w:numPr>
        <w:spacing w:after="60" w:before="60"/>
      </w:pPr>
      <w:r>
        <w:rPr>
          <w:rFonts w:ascii="Arial" w:cs="Arial" w:eastAsia="Arial" w:hAnsi="Arial"/>
          <w:color w:val="1A1A1A"/>
          <w:sz w:val="22"/>
          <w:szCs w:val="22"/>
        </w:rPr>
        <w:t xml:space="preserve">5-agent pipeline implemented and tested end-to-end</w:t>
      </w:r>
    </w:p>
    <w:p>
      <w:pPr>
        <w:pStyle w:val="ListParagraph"/>
        <w:numPr>
          <w:ilvl w:val="0"/>
          <w:numId w:val="2"/>
        </w:numPr>
        <w:spacing w:after="60" w:before="60"/>
      </w:pPr>
      <w:r>
        <w:rPr>
          <w:rFonts w:ascii="Arial" w:cs="Arial" w:eastAsia="Arial" w:hAnsi="Arial"/>
          <w:color w:val="1A1A1A"/>
          <w:sz w:val="22"/>
          <w:szCs w:val="22"/>
        </w:rPr>
        <w:t xml:space="preserve">ClinicalTrials.gov API integration with error handling</w:t>
      </w:r>
    </w:p>
    <w:p>
      <w:pPr>
        <w:pStyle w:val="ListParagraph"/>
        <w:numPr>
          <w:ilvl w:val="0"/>
          <w:numId w:val="2"/>
        </w:numPr>
        <w:spacing w:after="60" w:before="60"/>
      </w:pPr>
      <w:r>
        <w:rPr>
          <w:rFonts w:ascii="Arial" w:cs="Arial" w:eastAsia="Arial" w:hAnsi="Arial"/>
          <w:color w:val="1A1A1A"/>
          <w:sz w:val="22"/>
          <w:szCs w:val="22"/>
        </w:rPr>
        <w:t xml:space="preserve">Patient extractor handling at least 3 common clinical note formats</w:t>
      </w:r>
    </w:p>
    <w:p>
      <w:pPr>
        <w:pStyle w:val="ListParagraph"/>
        <w:numPr>
          <w:ilvl w:val="0"/>
          <w:numId w:val="2"/>
        </w:numPr>
        <w:spacing w:after="60" w:before="60"/>
      </w:pPr>
      <w:r>
        <w:rPr>
          <w:rFonts w:ascii="Arial" w:cs="Arial" w:eastAsia="Arial" w:hAnsi="Arial"/>
          <w:color w:val="1A1A1A"/>
          <w:sz w:val="22"/>
          <w:szCs w:val="22"/>
        </w:rPr>
        <w:t xml:space="preserve">Criteria parser handling inclusion and exclusion sections</w:t>
      </w:r>
    </w:p>
    <w:p>
      <w:pPr>
        <w:pStyle w:val="ListParagraph"/>
        <w:numPr>
          <w:ilvl w:val="0"/>
          <w:numId w:val="2"/>
        </w:numPr>
        <w:spacing w:after="60" w:before="60"/>
      </w:pPr>
      <w:r>
        <w:rPr>
          <w:rFonts w:ascii="Arial" w:cs="Arial" w:eastAsia="Arial" w:hAnsi="Arial"/>
          <w:color w:val="1A1A1A"/>
          <w:sz w:val="22"/>
          <w:szCs w:val="22"/>
        </w:rPr>
        <w:t xml:space="preserve">Reasoner producing structured verdicts with reasoning and action fields</w:t>
      </w:r>
    </w:p>
    <w:p>
      <w:pPr>
        <w:pStyle w:val="ListParagraph"/>
        <w:numPr>
          <w:ilvl w:val="0"/>
          <w:numId w:val="2"/>
        </w:numPr>
        <w:spacing w:after="60" w:before="60"/>
      </w:pPr>
      <w:r>
        <w:rPr>
          <w:rFonts w:ascii="Arial" w:cs="Arial" w:eastAsia="Arial" w:hAnsi="Arial"/>
          <w:color w:val="1A1A1A"/>
          <w:sz w:val="22"/>
          <w:szCs w:val="22"/>
        </w:rPr>
        <w:t xml:space="preserve">Brief generator producing human-readable HTML output</w:t>
      </w:r>
    </w:p>
    <w:p>
      <w:pPr>
        <w:pStyle w:val="ListParagraph"/>
        <w:numPr>
          <w:ilvl w:val="0"/>
          <w:numId w:val="2"/>
        </w:numPr>
        <w:spacing w:after="60" w:before="60"/>
      </w:pPr>
      <w:r>
        <w:rPr>
          <w:rFonts w:ascii="Arial" w:cs="Arial" w:eastAsia="Arial" w:hAnsi="Arial"/>
          <w:color w:val="1A1A1A"/>
          <w:sz w:val="22"/>
          <w:szCs w:val="22"/>
        </w:rPr>
        <w:t xml:space="preserve">Frontend with clean input UI and brief rendering</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6.3 Success Criteria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MINIMUM BAR</w:t>
            </w:r>
          </w:p>
        </w:tc>
        <w:tc>
          <w:tcPr>
            <w:tcW w:type="dxa" w:w="8160"/>
            <w:tcBorders>
              <w:top w:val="none" w:color="FFFFFF" w:sz="0"/>
              <w:left w:val="none" w:color="FFFFFF" w:sz="0"/>
              <w:bottom w:val="none" w:color="FFFFFF" w:sz="0"/>
              <w:right w:val="none" w:color="FFFFFF" w:sz="0"/>
            </w:tcBorders>
            <w:shd w:fill="D5E8F0" w:val="clear"/>
            <w:tcMar>
              <w:top w:type="dxa" w:w="120"/>
              <w:left w:type="dxa" w:w="200"/>
              <w:bottom w:type="dxa" w:w="120"/>
              <w:right w:type="dxa" w:w="160"/>
            </w:tcMar>
          </w:tcPr>
          <w:p>
            <w:r>
              <w:rPr>
                <w:rFonts w:ascii="Arial" w:cs="Arial" w:eastAsia="Arial" w:hAnsi="Arial"/>
                <w:color w:val="1A1A1A"/>
                <w:sz w:val="21"/>
                <w:szCs w:val="21"/>
              </w:rPr>
              <w:t xml:space="preserve">System completes a full end-to-end run on any ClinicalTrials.gov oncology trial with a realistic patient summary, producing a criterion-by-criterion brief with no hallucinated criteria.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GRAND PRIZE BAR</w:t>
            </w:r>
          </w:p>
        </w:tc>
        <w:tc>
          <w:tcPr>
            <w:tcW w:type="dxa" w:w="8160"/>
            <w:tcBorders>
              <w:top w:val="none" w:color="FFFFFF" w:sz="0"/>
              <w:left w:val="none" w:color="FFFFFF" w:sz="0"/>
              <w:bottom w:val="none" w:color="FFFFFF" w:sz="0"/>
              <w:right w:val="none" w:color="FFFFFF" w:sz="0"/>
            </w:tcBorders>
            <w:shd w:fill="D5E8F0" w:val="clear"/>
            <w:tcMar>
              <w:top w:type="dxa" w:w="120"/>
              <w:left w:type="dxa" w:w="200"/>
              <w:bottom w:type="dxa" w:w="120"/>
              <w:right w:type="dxa" w:w="160"/>
            </w:tcMar>
          </w:tcPr>
          <w:p>
            <w:r>
              <w:rPr>
                <w:rFonts w:ascii="Arial" w:cs="Arial" w:eastAsia="Arial" w:hAnsi="Arial"/>
                <w:color w:val="1A1A1A"/>
                <w:sz w:val="21"/>
                <w:szCs w:val="21"/>
              </w:rPr>
              <w:t xml:space="preserve">Demo video achieves ≥150 reposts + ≥2,000 likes after Z.ai official repost. This requires the demo to be visually compelling, the problem framing to be immediately understood by a non-technical audience, and the X thread to tell a clear story.</w:t>
            </w:r>
          </w:p>
        </w:tc>
      </w:tr>
    </w:tbl>
    <w:p>
      <w:pPr>
        <w:spacing w:after="80" w:before="80"/>
      </w:pPr>
      <w:r>
        <w:t xml:space="preserve"/>
      </w:r>
    </w:p>
    <w:p>
      <w:pPr>
        <w:pBdr>
          <w:bottom w:val="single" w:color="E0E0E0" w:sz="2" w:space="1"/>
        </w:pBdr>
        <w:spacing w:after="200" w:before="200"/>
      </w:pPr>
      <w:r>
        <w:t xml:space="preserve"/>
      </w:r>
    </w:p>
    <w:p>
      <w:pPr>
        <w:pStyle w:val="Heading1"/>
        <w:pBdr>
          <w:bottom w:val="single" w:color="2E75B6" w:sz="8" w:space="4"/>
        </w:pBdr>
        <w:spacing w:after="160" w:before="400"/>
      </w:pPr>
      <w:r>
        <w:rPr>
          <w:rFonts w:ascii="Arial" w:cs="Arial" w:eastAsia="Arial" w:hAnsi="Arial"/>
          <w:b/>
          <w:bCs/>
          <w:color w:val="1E3A5F"/>
          <w:sz w:val="32"/>
          <w:szCs w:val="32"/>
        </w:rPr>
        <w:t xml:space="preserve">7. Framing &amp; Positioning Note</w:t>
      </w:r>
    </w:p>
    <w:p>
      <w:pPr>
        <w:spacing w:after="80" w:before="80"/>
      </w:pPr>
      <w:r>
        <w:t xml:space="preserve"/>
      </w:r>
    </w:p>
    <w:p>
      <w:pPr>
        <w:spacing w:after="80" w:before="80"/>
      </w:pPr>
      <w:r>
        <w:rPr>
          <w:rFonts w:ascii="Arial" w:cs="Arial" w:eastAsia="Arial" w:hAnsi="Arial"/>
          <w:color w:val="1A1A1A"/>
          <w:sz w:val="22"/>
          <w:szCs w:val="22"/>
        </w:rPr>
        <w:t xml:space="preserve">TrialMatch AI is explicitly positioned as a research coordination assistant, not a diagnostic tool. It does not make enrollment decisions. It produces a structured brief that a physician or coordinator uses to make their decision faster and with more confidence. This framing keeps the system out of FDA regulatory territory, makes it safe to demo publicly, and is the honest description of what the system actually does.</w:t>
      </w:r>
    </w:p>
    <w:p>
      <w:pPr>
        <w:spacing w:after="80" w:before="80"/>
      </w:pPr>
      <w:r>
        <w:t xml:space="preserve"/>
      </w:r>
    </w:p>
    <w:p>
      <w:pPr>
        <w:spacing w:after="80" w:before="80"/>
      </w:pPr>
      <w:r>
        <w:rPr>
          <w:rFonts w:ascii="Arial" w:cs="Arial" w:eastAsia="Arial" w:hAnsi="Arial"/>
          <w:color w:val="1A1A1A"/>
          <w:sz w:val="22"/>
          <w:szCs w:val="22"/>
        </w:rPr>
        <w:t xml:space="preserve">The X thread and demo script should open with the human problem — not the technology. The most shareable version of this story is: a patient or family member spends weeks finding a trial, then weeks more waiting for eligibility review. TrialMatch AI compresses the eligibility review step from days to minutes. That is the story. The multi-agent architecture is the how.</w:t>
      </w:r>
    </w:p>
    <w:p>
      <w:pPr>
        <w:spacing w:after="80" w:before="80"/>
      </w:pPr>
      <w:r>
        <w:t xml:space="preserve"/>
      </w:r>
    </w:p>
    <w:p>
      <w:pPr>
        <w:spacing w:after="80" w:before="80"/>
      </w:pPr>
      <w:r>
        <w:t xml:space="preserve"/>
      </w:r>
    </w:p>
    <w:p>
      <w:pPr>
        <w:spacing w:after="0" w:before="200"/>
        <w:jc w:val="center"/>
      </w:pPr>
      <w:r>
        <w:rPr>
          <w:rFonts w:ascii="Arial" w:cs="Arial" w:eastAsia="Arial" w:hAnsi="Arial"/>
          <w:i/>
          <w:iCs/>
          <w:color w:val="444444"/>
          <w:sz w:val="20"/>
          <w:szCs w:val="20"/>
        </w:rPr>
        <w:t xml:space="preserve">—  End of Document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pPr>
    <w:r>
      <w:rPr>
        <w:rFonts w:ascii="Arial" w:cs="Arial" w:eastAsia="Arial" w:hAnsi="Arial"/>
        <w:color w:val="444444"/>
        <w:sz w:val="18"/>
        <w:szCs w:val="18"/>
      </w:rPr>
      <w:t xml:space="preserve">TrialMatch AI  •  Confidential Project Document  •  </w:t>
    </w:r>
    <w:r>
      <w:rPr>
        <w:rFonts w:ascii="Arial" w:cs="Arial" w:eastAsia="Arial" w:hAnsi="Arial"/>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2026-04-05T10:42:30.277Z</dcterms:created>
  <dcterms:modified xsi:type="dcterms:W3CDTF">2026-04-05T10:42:30.278Z</dcterms:modified>
</cp:coreProperties>
</file>

<file path=docProps/custom.xml><?xml version="1.0" encoding="utf-8"?>
<Properties xmlns="http://schemas.openxmlformats.org/officeDocument/2006/custom-properties" xmlns:vt="http://schemas.openxmlformats.org/officeDocument/2006/docPropsVTypes"/>
</file>