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BFBD7" w14:textId="77777777" w:rsidR="008026C9" w:rsidRDefault="008026C9" w:rsidP="008026C9">
      <w:pPr>
        <w:jc w:val="center"/>
        <w:rPr>
          <w:rFonts w:ascii="Times New Roman" w:eastAsia="Times New Roman" w:hAnsi="Times New Roman" w:cs="Times New Roman"/>
          <w:sz w:val="30"/>
          <w:szCs w:val="30"/>
          <w:u w:val="single"/>
        </w:rPr>
      </w:pPr>
    </w:p>
    <w:p w14:paraId="67512251" w14:textId="4E978BD3" w:rsidR="00F31630" w:rsidRDefault="00000000" w:rsidP="008026C9">
      <w:pPr>
        <w:jc w:val="center"/>
        <w:rPr>
          <w:rFonts w:ascii="Times New Roman" w:eastAsia="Times New Roman" w:hAnsi="Times New Roman" w:cs="Times New Roman"/>
          <w:sz w:val="30"/>
          <w:szCs w:val="30"/>
          <w:u w:val="single"/>
        </w:rPr>
      </w:pPr>
      <w:r>
        <w:rPr>
          <w:rFonts w:ascii="Times New Roman" w:eastAsia="Times New Roman" w:hAnsi="Times New Roman" w:cs="Times New Roman"/>
          <w:noProof/>
          <w:sz w:val="24"/>
          <w:szCs w:val="24"/>
        </w:rPr>
        <w:drawing>
          <wp:inline distT="114300" distB="114300" distL="114300" distR="114300" wp14:anchorId="3FF1872F" wp14:editId="2FDBE174">
            <wp:extent cx="6267831" cy="1247277"/>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267831" cy="1247277"/>
                    </a:xfrm>
                    <a:prstGeom prst="rect">
                      <a:avLst/>
                    </a:prstGeom>
                    <a:ln/>
                  </pic:spPr>
                </pic:pic>
              </a:graphicData>
            </a:graphic>
          </wp:inline>
        </w:drawing>
      </w:r>
    </w:p>
    <w:p w14:paraId="2E9E77B6" w14:textId="77777777" w:rsidR="00F31630" w:rsidRDefault="00F31630">
      <w:pPr>
        <w:jc w:val="both"/>
        <w:rPr>
          <w:rFonts w:ascii="Times New Roman" w:eastAsia="Times New Roman" w:hAnsi="Times New Roman" w:cs="Times New Roman"/>
          <w:sz w:val="30"/>
          <w:szCs w:val="30"/>
          <w:u w:val="single"/>
        </w:rPr>
      </w:pPr>
    </w:p>
    <w:p w14:paraId="10634561" w14:textId="77777777" w:rsidR="00F31630" w:rsidRDefault="00F31630">
      <w:pPr>
        <w:jc w:val="both"/>
        <w:rPr>
          <w:rFonts w:ascii="Times New Roman" w:eastAsia="Times New Roman" w:hAnsi="Times New Roman" w:cs="Times New Roman"/>
          <w:sz w:val="30"/>
          <w:szCs w:val="30"/>
          <w:u w:val="single"/>
        </w:rPr>
      </w:pPr>
    </w:p>
    <w:p w14:paraId="4B695FEC" w14:textId="77777777" w:rsidR="00F31630" w:rsidRDefault="00F31630">
      <w:pPr>
        <w:jc w:val="both"/>
        <w:rPr>
          <w:rFonts w:ascii="Times New Roman" w:eastAsia="Times New Roman" w:hAnsi="Times New Roman" w:cs="Times New Roman"/>
          <w:sz w:val="30"/>
          <w:szCs w:val="30"/>
        </w:rPr>
      </w:pPr>
    </w:p>
    <w:p w14:paraId="2491B7BA" w14:textId="77777777" w:rsidR="00F31630" w:rsidRDefault="00000000">
      <w:pPr>
        <w:jc w:val="both"/>
        <w:rPr>
          <w:rFonts w:ascii="Times New Roman" w:eastAsia="Times New Roman" w:hAnsi="Times New Roman" w:cs="Times New Roman"/>
          <w:sz w:val="50"/>
          <w:szCs w:val="50"/>
        </w:rPr>
      </w:pPr>
      <w:r>
        <w:rPr>
          <w:rFonts w:ascii="Times New Roman" w:eastAsia="Times New Roman" w:hAnsi="Times New Roman" w:cs="Times New Roman"/>
          <w:sz w:val="50"/>
          <w:szCs w:val="50"/>
        </w:rPr>
        <w:t xml:space="preserve">All-Star Analytics - </w:t>
      </w:r>
    </w:p>
    <w:p w14:paraId="05422FFE" w14:textId="77777777" w:rsidR="00F31630" w:rsidRDefault="00000000">
      <w:pPr>
        <w:jc w:val="both"/>
        <w:rPr>
          <w:rFonts w:ascii="Times New Roman" w:eastAsia="Times New Roman" w:hAnsi="Times New Roman" w:cs="Times New Roman"/>
          <w:sz w:val="50"/>
          <w:szCs w:val="50"/>
        </w:rPr>
      </w:pPr>
      <w:r>
        <w:rPr>
          <w:rFonts w:ascii="Times New Roman" w:eastAsia="Times New Roman" w:hAnsi="Times New Roman" w:cs="Times New Roman"/>
          <w:sz w:val="50"/>
          <w:szCs w:val="50"/>
        </w:rPr>
        <w:t>NCAA Basketball Data Analysis</w:t>
      </w:r>
    </w:p>
    <w:p w14:paraId="5737D972" w14:textId="77777777" w:rsidR="00F31630" w:rsidRDefault="00F31630">
      <w:pPr>
        <w:jc w:val="both"/>
        <w:rPr>
          <w:rFonts w:ascii="Times New Roman" w:eastAsia="Times New Roman" w:hAnsi="Times New Roman" w:cs="Times New Roman"/>
          <w:sz w:val="30"/>
          <w:szCs w:val="30"/>
          <w:u w:val="single"/>
        </w:rPr>
      </w:pPr>
    </w:p>
    <w:p w14:paraId="149DD0C5" w14:textId="77777777" w:rsidR="00F31630" w:rsidRDefault="00000000">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Data Processing and Analysis in Python</w:t>
      </w:r>
    </w:p>
    <w:p w14:paraId="055ECDB1" w14:textId="77777777" w:rsidR="00F31630" w:rsidRDefault="00F31630">
      <w:pPr>
        <w:jc w:val="both"/>
        <w:rPr>
          <w:rFonts w:ascii="Times New Roman" w:eastAsia="Times New Roman" w:hAnsi="Times New Roman" w:cs="Times New Roman"/>
          <w:sz w:val="30"/>
          <w:szCs w:val="30"/>
          <w:u w:val="single"/>
        </w:rPr>
      </w:pPr>
    </w:p>
    <w:p w14:paraId="2105B4A7" w14:textId="77777777" w:rsidR="00F31630" w:rsidRDefault="00F31630">
      <w:pPr>
        <w:jc w:val="both"/>
        <w:rPr>
          <w:rFonts w:ascii="Times New Roman" w:eastAsia="Times New Roman" w:hAnsi="Times New Roman" w:cs="Times New Roman"/>
          <w:sz w:val="30"/>
          <w:szCs w:val="30"/>
          <w:u w:val="single"/>
        </w:rPr>
      </w:pPr>
    </w:p>
    <w:p w14:paraId="72F02ABB" w14:textId="77777777" w:rsidR="00F31630" w:rsidRDefault="00F31630">
      <w:pPr>
        <w:jc w:val="both"/>
        <w:rPr>
          <w:rFonts w:ascii="Times New Roman" w:eastAsia="Times New Roman" w:hAnsi="Times New Roman" w:cs="Times New Roman"/>
          <w:sz w:val="30"/>
          <w:szCs w:val="30"/>
          <w:u w:val="single"/>
        </w:rPr>
      </w:pPr>
    </w:p>
    <w:p w14:paraId="02A42D64" w14:textId="77777777" w:rsidR="00F31630" w:rsidRDefault="00F31630">
      <w:pPr>
        <w:jc w:val="both"/>
        <w:rPr>
          <w:rFonts w:ascii="Times New Roman" w:eastAsia="Times New Roman" w:hAnsi="Times New Roman" w:cs="Times New Roman"/>
          <w:sz w:val="30"/>
          <w:szCs w:val="30"/>
          <w:u w:val="single"/>
        </w:rPr>
      </w:pPr>
    </w:p>
    <w:p w14:paraId="6F6E06B4" w14:textId="77777777" w:rsidR="00F31630" w:rsidRDefault="00F31630">
      <w:pPr>
        <w:jc w:val="both"/>
        <w:rPr>
          <w:rFonts w:ascii="Times New Roman" w:eastAsia="Times New Roman" w:hAnsi="Times New Roman" w:cs="Times New Roman"/>
          <w:sz w:val="30"/>
          <w:szCs w:val="30"/>
          <w:u w:val="single"/>
        </w:rPr>
      </w:pPr>
    </w:p>
    <w:p w14:paraId="6B041C21" w14:textId="77777777" w:rsidR="00F31630" w:rsidRDefault="00F31630">
      <w:pPr>
        <w:jc w:val="both"/>
        <w:rPr>
          <w:rFonts w:ascii="Times New Roman" w:eastAsia="Times New Roman" w:hAnsi="Times New Roman" w:cs="Times New Roman"/>
          <w:sz w:val="30"/>
          <w:szCs w:val="30"/>
          <w:u w:val="single"/>
        </w:rPr>
      </w:pPr>
    </w:p>
    <w:p w14:paraId="17B80EC2" w14:textId="77777777" w:rsidR="00F31630" w:rsidRDefault="00F31630">
      <w:pPr>
        <w:jc w:val="both"/>
        <w:rPr>
          <w:rFonts w:ascii="Times New Roman" w:eastAsia="Times New Roman" w:hAnsi="Times New Roman" w:cs="Times New Roman"/>
          <w:sz w:val="30"/>
          <w:szCs w:val="30"/>
          <w:u w:val="single"/>
        </w:rPr>
      </w:pPr>
    </w:p>
    <w:p w14:paraId="0B1AEA31" w14:textId="77777777" w:rsidR="00F31630" w:rsidRDefault="00000000">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Analysis and Report Completed By:</w:t>
      </w:r>
    </w:p>
    <w:p w14:paraId="229718BE" w14:textId="77777777" w:rsidR="00F31630" w:rsidRDefault="00000000">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Anna Farley</w:t>
      </w:r>
    </w:p>
    <w:p w14:paraId="199CFAAE" w14:textId="77777777" w:rsidR="00F31630" w:rsidRDefault="00000000">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Wendy Guan</w:t>
      </w:r>
    </w:p>
    <w:p w14:paraId="3649ADE4" w14:textId="77777777" w:rsidR="00F31630" w:rsidRDefault="00000000">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John Kinkead</w:t>
      </w:r>
    </w:p>
    <w:p w14:paraId="43A0E503" w14:textId="77777777" w:rsidR="00F31630" w:rsidRDefault="00000000">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Joanna Kwok</w:t>
      </w:r>
    </w:p>
    <w:p w14:paraId="0E7E6E1F" w14:textId="77777777" w:rsidR="00F31630" w:rsidRDefault="00000000">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Pravah Malunjkar</w:t>
      </w:r>
    </w:p>
    <w:p w14:paraId="2353606C" w14:textId="77777777" w:rsidR="00F31630" w:rsidRDefault="00000000">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Shane O’Brien</w:t>
      </w:r>
    </w:p>
    <w:p w14:paraId="50A6DBCF" w14:textId="77777777" w:rsidR="00F31630" w:rsidRDefault="00F31630">
      <w:pPr>
        <w:jc w:val="both"/>
        <w:rPr>
          <w:rFonts w:ascii="Times New Roman" w:eastAsia="Times New Roman" w:hAnsi="Times New Roman" w:cs="Times New Roman"/>
          <w:sz w:val="30"/>
          <w:szCs w:val="30"/>
          <w:u w:val="single"/>
        </w:rPr>
      </w:pPr>
    </w:p>
    <w:p w14:paraId="2C4B8677" w14:textId="77777777" w:rsidR="00F31630" w:rsidRDefault="00F31630">
      <w:pPr>
        <w:jc w:val="both"/>
        <w:rPr>
          <w:rFonts w:ascii="Times New Roman" w:eastAsia="Times New Roman" w:hAnsi="Times New Roman" w:cs="Times New Roman"/>
          <w:sz w:val="30"/>
          <w:szCs w:val="30"/>
          <w:u w:val="single"/>
        </w:rPr>
      </w:pPr>
    </w:p>
    <w:p w14:paraId="68725D24" w14:textId="77777777" w:rsidR="00F31630" w:rsidRDefault="00F31630">
      <w:pPr>
        <w:jc w:val="both"/>
        <w:rPr>
          <w:rFonts w:ascii="Times New Roman" w:eastAsia="Times New Roman" w:hAnsi="Times New Roman" w:cs="Times New Roman"/>
          <w:sz w:val="30"/>
          <w:szCs w:val="30"/>
          <w:u w:val="single"/>
        </w:rPr>
      </w:pPr>
    </w:p>
    <w:p w14:paraId="066C2D16" w14:textId="77777777" w:rsidR="00F31630" w:rsidRDefault="00F31630">
      <w:pPr>
        <w:jc w:val="both"/>
        <w:rPr>
          <w:rFonts w:ascii="Times New Roman" w:eastAsia="Times New Roman" w:hAnsi="Times New Roman" w:cs="Times New Roman"/>
          <w:sz w:val="30"/>
          <w:szCs w:val="30"/>
          <w:u w:val="single"/>
        </w:rPr>
      </w:pPr>
    </w:p>
    <w:p w14:paraId="7F0A53E5" w14:textId="77777777" w:rsidR="00F31630" w:rsidRDefault="00000000">
      <w:pPr>
        <w:jc w:val="both"/>
        <w:rPr>
          <w:rFonts w:ascii="Times New Roman" w:eastAsia="Times New Roman" w:hAnsi="Times New Roman" w:cs="Times New Roman"/>
          <w:sz w:val="30"/>
          <w:szCs w:val="30"/>
          <w:u w:val="single"/>
        </w:rPr>
      </w:pPr>
      <w:r>
        <w:rPr>
          <w:rFonts w:ascii="Times New Roman" w:eastAsia="Times New Roman" w:hAnsi="Times New Roman" w:cs="Times New Roman"/>
          <w:sz w:val="30"/>
          <w:szCs w:val="30"/>
          <w:u w:val="single"/>
        </w:rPr>
        <w:lastRenderedPageBreak/>
        <w:t>Introduction</w:t>
      </w:r>
    </w:p>
    <w:p w14:paraId="4A416D27" w14:textId="77777777" w:rsidR="00F3163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Sport analysis is becoming increasingly prevalent in the modern professional sports world and can be attributed to the unprecedented access to big data and the capacity to employ sophisticated analytical methods to derive meaningful insights related to performance. This tendency is especially noticeable in the basketball sector, where data-driven insights are well-suited due to the dynamic character of the game and its complex strategies.  Basketball teams are using sport analysis to estimate player performance, improve strategy, and ultimately predict game outcomes as they become more aware of its transformative potential. This exploration aims to utilize data analytics to uncover patterns and derive actionable insights from publicly accessible data, addressing key business questions related to performance improvement:</w:t>
      </w:r>
    </w:p>
    <w:p w14:paraId="4B055FD6" w14:textId="77777777" w:rsidR="00F31630"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Which leagues are performing best overall?</w:t>
      </w:r>
    </w:p>
    <w:p w14:paraId="283A7973" w14:textId="77777777" w:rsidR="00F31630"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 are specific basketball stats correlated with wins?</w:t>
      </w:r>
    </w:p>
    <w:p w14:paraId="6651E90C" w14:textId="77777777" w:rsidR="00F31630"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have performance factors changed </w:t>
      </w:r>
      <w:proofErr w:type="gramStart"/>
      <w:r>
        <w:rPr>
          <w:rFonts w:ascii="Times New Roman" w:eastAsia="Times New Roman" w:hAnsi="Times New Roman" w:cs="Times New Roman"/>
          <w:sz w:val="24"/>
          <w:szCs w:val="24"/>
        </w:rPr>
        <w:t>pre</w:t>
      </w:r>
      <w:proofErr w:type="gramEnd"/>
      <w:r>
        <w:rPr>
          <w:rFonts w:ascii="Times New Roman" w:eastAsia="Times New Roman" w:hAnsi="Times New Roman" w:cs="Times New Roman"/>
          <w:sz w:val="24"/>
          <w:szCs w:val="24"/>
        </w:rPr>
        <w:t xml:space="preserve"> and post-COVID?</w:t>
      </w:r>
    </w:p>
    <w:p w14:paraId="6F665B01" w14:textId="77777777" w:rsidR="00F31630"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is Maryland Basketball’s impact within the Power 5?</w:t>
      </w:r>
    </w:p>
    <w:p w14:paraId="44BE39E9" w14:textId="77777777" w:rsidR="00F31630"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Modeling the winning percentage of Maryland Basketball.</w:t>
      </w:r>
    </w:p>
    <w:p w14:paraId="50C085EC" w14:textId="77777777" w:rsidR="00F31630" w:rsidRDefault="00F31630">
      <w:pPr>
        <w:ind w:left="720"/>
        <w:jc w:val="both"/>
        <w:rPr>
          <w:rFonts w:ascii="Times New Roman" w:eastAsia="Times New Roman" w:hAnsi="Times New Roman" w:cs="Times New Roman"/>
          <w:sz w:val="24"/>
          <w:szCs w:val="24"/>
        </w:rPr>
      </w:pPr>
    </w:p>
    <w:p w14:paraId="04DE8641" w14:textId="77777777" w:rsidR="00F31630" w:rsidRDefault="00000000">
      <w:pPr>
        <w:jc w:val="both"/>
        <w:rPr>
          <w:rFonts w:ascii="Times New Roman" w:eastAsia="Times New Roman" w:hAnsi="Times New Roman" w:cs="Times New Roman"/>
          <w:sz w:val="30"/>
          <w:szCs w:val="30"/>
          <w:u w:val="single"/>
        </w:rPr>
      </w:pPr>
      <w:r>
        <w:rPr>
          <w:rFonts w:ascii="Times New Roman" w:eastAsia="Times New Roman" w:hAnsi="Times New Roman" w:cs="Times New Roman"/>
          <w:sz w:val="30"/>
          <w:szCs w:val="30"/>
          <w:u w:val="single"/>
        </w:rPr>
        <w:t>Background</w:t>
      </w:r>
    </w:p>
    <w:p w14:paraId="67D12515" w14:textId="77777777" w:rsidR="00F3163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landscape of basketball analytics has evolved significantly since gaining popularity in the 1990s. Fortune Business Insights projected the global sports analytics market to exhibit a CAGR of 28.7% from 2023 to 2030. Today, basketball analytics is more accessible than ever, offering live play-by-play data and real-time player and team stats. This is crucial for teams during the season, where they may face three completely different opponents in a week.</w:t>
      </w:r>
    </w:p>
    <w:p w14:paraId="5D887CAE" w14:textId="77777777" w:rsidR="00F31630" w:rsidRDefault="00F31630">
      <w:pPr>
        <w:jc w:val="both"/>
        <w:rPr>
          <w:rFonts w:ascii="Times New Roman" w:eastAsia="Times New Roman" w:hAnsi="Times New Roman" w:cs="Times New Roman"/>
          <w:sz w:val="24"/>
          <w:szCs w:val="24"/>
        </w:rPr>
      </w:pPr>
    </w:p>
    <w:p w14:paraId="5824082F" w14:textId="77777777" w:rsidR="00F3163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proofErr w:type="gramStart"/>
      <w:r>
        <w:rPr>
          <w:rFonts w:ascii="Times New Roman" w:eastAsia="Times New Roman" w:hAnsi="Times New Roman" w:cs="Times New Roman"/>
          <w:sz w:val="24"/>
          <w:szCs w:val="24"/>
        </w:rPr>
        <w:t>NCAA</w:t>
      </w:r>
      <w:proofErr w:type="gramEnd"/>
      <w:r>
        <w:rPr>
          <w:rFonts w:ascii="Times New Roman" w:eastAsia="Times New Roman" w:hAnsi="Times New Roman" w:cs="Times New Roman"/>
          <w:sz w:val="24"/>
          <w:szCs w:val="24"/>
        </w:rPr>
        <w:t xml:space="preserve"> Division I composed of over 350 teams playing around 30 games in a season, relying solely on video analysis presents a challenge. Our project aims to utilize a decade of NCAA Division I data to analyze key statistics that influence a team’s winning percentage. First, through exploratory data analysis to uncover trends in various basketball statistics and provide insights, and then using those insights to create predictive models and conduct analysis.</w:t>
      </w:r>
    </w:p>
    <w:p w14:paraId="795ADF44" w14:textId="77777777" w:rsidR="00F31630" w:rsidRDefault="00F31630">
      <w:pPr>
        <w:jc w:val="both"/>
        <w:rPr>
          <w:rFonts w:ascii="Times New Roman" w:eastAsia="Times New Roman" w:hAnsi="Times New Roman" w:cs="Times New Roman"/>
          <w:sz w:val="24"/>
          <w:szCs w:val="24"/>
        </w:rPr>
      </w:pPr>
    </w:p>
    <w:p w14:paraId="2E343EFF" w14:textId="77777777" w:rsidR="00F31630" w:rsidRDefault="00000000">
      <w:pPr>
        <w:jc w:val="both"/>
        <w:rPr>
          <w:rFonts w:ascii="Times New Roman" w:eastAsia="Times New Roman" w:hAnsi="Times New Roman" w:cs="Times New Roman"/>
          <w:sz w:val="30"/>
          <w:szCs w:val="30"/>
          <w:u w:val="single"/>
        </w:rPr>
      </w:pPr>
      <w:r>
        <w:rPr>
          <w:rFonts w:ascii="Times New Roman" w:eastAsia="Times New Roman" w:hAnsi="Times New Roman" w:cs="Times New Roman"/>
          <w:sz w:val="30"/>
          <w:szCs w:val="30"/>
          <w:u w:val="single"/>
        </w:rPr>
        <w:t>Research Methods</w:t>
      </w:r>
    </w:p>
    <w:p w14:paraId="256189E4" w14:textId="77777777" w:rsidR="00F3163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effectively understand, visualize, and make suggestions on these college basketball statistics, we have created a plan. This provides a general flow of information and ideas that work on its previous step to provide the most accurate and meaningful findings:</w:t>
      </w:r>
    </w:p>
    <w:p w14:paraId="29F3ADB8" w14:textId="77777777" w:rsidR="00F31630"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General Basketball and Variable Understanding</w:t>
      </w:r>
    </w:p>
    <w:p w14:paraId="045C4709" w14:textId="77777777" w:rsidR="00F31630"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Cleaning and Interpretation</w:t>
      </w:r>
    </w:p>
    <w:p w14:paraId="631DD9EB" w14:textId="77777777" w:rsidR="00F31630"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Exploratory Data Analysis and Scope Definition</w:t>
      </w:r>
    </w:p>
    <w:p w14:paraId="0B3DE850" w14:textId="77777777" w:rsidR="00F31630"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Predictive Modeling and Analysis</w:t>
      </w:r>
    </w:p>
    <w:p w14:paraId="6105F3AB" w14:textId="77777777" w:rsidR="00F31630"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Prediction, Interpretation, and Outtakes</w:t>
      </w:r>
    </w:p>
    <w:p w14:paraId="3C61C036" w14:textId="77777777" w:rsidR="00F31630" w:rsidRDefault="00F31630">
      <w:pPr>
        <w:jc w:val="both"/>
        <w:rPr>
          <w:rFonts w:ascii="Times New Roman" w:eastAsia="Times New Roman" w:hAnsi="Times New Roman" w:cs="Times New Roman"/>
          <w:b/>
          <w:sz w:val="24"/>
          <w:szCs w:val="24"/>
        </w:rPr>
      </w:pPr>
    </w:p>
    <w:p w14:paraId="0D17B056" w14:textId="77777777" w:rsidR="00F31630" w:rsidRDefault="00F31630">
      <w:pPr>
        <w:jc w:val="both"/>
        <w:rPr>
          <w:rFonts w:ascii="Times New Roman" w:eastAsia="Times New Roman" w:hAnsi="Times New Roman" w:cs="Times New Roman"/>
          <w:b/>
          <w:sz w:val="24"/>
          <w:szCs w:val="24"/>
        </w:rPr>
      </w:pPr>
    </w:p>
    <w:p w14:paraId="60D4891D" w14:textId="77777777" w:rsidR="00F3163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sz w:val="30"/>
          <w:szCs w:val="30"/>
          <w:u w:val="single"/>
        </w:rPr>
        <w:lastRenderedPageBreak/>
        <w:t>Deliverables</w:t>
      </w:r>
    </w:p>
    <w:p w14:paraId="549D0E60" w14:textId="77777777" w:rsidR="00F3163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professional basketball sports world is witnessing remarkable growth, establishing itself as a crucial domain for both game competition and fan engagement. This thriving sector is a rich source of data that offers chances to identify trends and insights that can guide strategic choices. Our ultimate project objective involves crafting a comprehensive presentation and analysis report tailored for key stakeholders and enthusiasts in the professional basketball industry, including players, sports organizations, sponsors, and fans. </w:t>
      </w:r>
      <w:proofErr w:type="gramStart"/>
      <w:r>
        <w:rPr>
          <w:rFonts w:ascii="Times New Roman" w:eastAsia="Times New Roman" w:hAnsi="Times New Roman" w:cs="Times New Roman"/>
          <w:sz w:val="24"/>
          <w:szCs w:val="24"/>
        </w:rPr>
        <w:t>This deliverable hopes</w:t>
      </w:r>
      <w:proofErr w:type="gramEnd"/>
      <w:r>
        <w:rPr>
          <w:rFonts w:ascii="Times New Roman" w:eastAsia="Times New Roman" w:hAnsi="Times New Roman" w:cs="Times New Roman"/>
          <w:sz w:val="24"/>
          <w:szCs w:val="24"/>
        </w:rPr>
        <w:t xml:space="preserve"> to give teams, players, and stakeholders useful information by utilizing data-driven insights and trends, which will help them spot strategic and profitable opportunities in the sports world and make informed decisions. Our recommendations will be based on a combination of careful examination of relevant datasets and extensive research from various online resources.</w:t>
      </w:r>
    </w:p>
    <w:p w14:paraId="283D67D8" w14:textId="77777777" w:rsidR="00F31630" w:rsidRDefault="00F31630">
      <w:pPr>
        <w:jc w:val="both"/>
        <w:rPr>
          <w:rFonts w:ascii="Times New Roman" w:eastAsia="Times New Roman" w:hAnsi="Times New Roman" w:cs="Times New Roman"/>
          <w:b/>
          <w:sz w:val="24"/>
          <w:szCs w:val="24"/>
        </w:rPr>
      </w:pPr>
    </w:p>
    <w:p w14:paraId="56C5A3AE" w14:textId="77777777" w:rsidR="00F3163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sz w:val="30"/>
          <w:szCs w:val="30"/>
          <w:u w:val="single"/>
        </w:rPr>
        <w:t>Dataset</w:t>
      </w:r>
      <w:r>
        <w:rPr>
          <w:rFonts w:ascii="Times New Roman" w:eastAsia="Times New Roman" w:hAnsi="Times New Roman" w:cs="Times New Roman"/>
          <w:b/>
          <w:sz w:val="24"/>
          <w:szCs w:val="24"/>
        </w:rPr>
        <w:t xml:space="preserve"> </w:t>
      </w:r>
    </w:p>
    <w:p w14:paraId="77253EB9" w14:textId="77777777" w:rsidR="00F3163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dataset contains information on Division I college basketball seasons from 2013 to 2023. It consists of the following variables:</w:t>
      </w:r>
    </w:p>
    <w:p w14:paraId="6AE42A5A" w14:textId="77777777" w:rsidR="00F31630" w:rsidRDefault="00F31630">
      <w:pPr>
        <w:jc w:val="both"/>
        <w:rPr>
          <w:rFonts w:ascii="Times New Roman" w:eastAsia="Times New Roman" w:hAnsi="Times New Roman" w:cs="Times New Roman"/>
          <w:sz w:val="24"/>
          <w:szCs w:val="24"/>
        </w:rPr>
      </w:pPr>
    </w:p>
    <w:tbl>
      <w:tblPr>
        <w:tblStyle w:val="a"/>
        <w:tblW w:w="945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5"/>
        <w:gridCol w:w="5085"/>
      </w:tblGrid>
      <w:tr w:rsidR="00F31630" w14:paraId="6221F607" w14:textId="77777777">
        <w:tc>
          <w:tcPr>
            <w:tcW w:w="4365" w:type="dxa"/>
            <w:shd w:val="clear" w:color="auto" w:fill="auto"/>
            <w:tcMar>
              <w:top w:w="100" w:type="dxa"/>
              <w:left w:w="100" w:type="dxa"/>
              <w:bottom w:w="100" w:type="dxa"/>
              <w:right w:w="100" w:type="dxa"/>
            </w:tcMar>
          </w:tcPr>
          <w:p w14:paraId="4E39B54E" w14:textId="77777777" w:rsidR="00F31630" w:rsidRDefault="00000000">
            <w:pPr>
              <w:rPr>
                <w:rFonts w:ascii="Times New Roman" w:eastAsia="Times New Roman" w:hAnsi="Times New Roman" w:cs="Times New Roman"/>
                <w:sz w:val="20"/>
                <w:szCs w:val="20"/>
              </w:rPr>
            </w:pPr>
            <w:r>
              <w:rPr>
                <w:rFonts w:ascii="Times New Roman" w:eastAsia="Times New Roman" w:hAnsi="Times New Roman" w:cs="Times New Roman"/>
                <w:color w:val="3C4043"/>
                <w:sz w:val="20"/>
                <w:szCs w:val="20"/>
              </w:rPr>
              <w:t>RK (Only in cbb20): The ranking of the team at the end of the regular season</w:t>
            </w:r>
          </w:p>
        </w:tc>
        <w:tc>
          <w:tcPr>
            <w:tcW w:w="5085" w:type="dxa"/>
            <w:shd w:val="clear" w:color="auto" w:fill="auto"/>
            <w:tcMar>
              <w:top w:w="100" w:type="dxa"/>
              <w:left w:w="100" w:type="dxa"/>
              <w:bottom w:w="100" w:type="dxa"/>
              <w:right w:w="100" w:type="dxa"/>
            </w:tcMar>
          </w:tcPr>
          <w:p w14:paraId="16ED5FDC" w14:textId="77777777" w:rsidR="00F31630" w:rsidRDefault="00000000">
            <w:pPr>
              <w:rPr>
                <w:rFonts w:ascii="Times New Roman" w:eastAsia="Times New Roman" w:hAnsi="Times New Roman" w:cs="Times New Roman"/>
                <w:color w:val="3C4043"/>
                <w:sz w:val="20"/>
                <w:szCs w:val="20"/>
              </w:rPr>
            </w:pPr>
            <w:r>
              <w:rPr>
                <w:rFonts w:ascii="Times New Roman" w:eastAsia="Times New Roman" w:hAnsi="Times New Roman" w:cs="Times New Roman"/>
                <w:color w:val="3C4043"/>
                <w:sz w:val="20"/>
                <w:szCs w:val="20"/>
              </w:rPr>
              <w:t>TEAM: The Division I college basketball school</w:t>
            </w:r>
          </w:p>
          <w:p w14:paraId="2B832B54" w14:textId="77777777" w:rsidR="00F31630" w:rsidRDefault="00000000">
            <w:pPr>
              <w:rPr>
                <w:rFonts w:ascii="Times New Roman" w:eastAsia="Times New Roman" w:hAnsi="Times New Roman" w:cs="Times New Roman"/>
                <w:sz w:val="20"/>
                <w:szCs w:val="20"/>
              </w:rPr>
            </w:pPr>
            <w:r>
              <w:rPr>
                <w:rFonts w:ascii="Times New Roman" w:eastAsia="Times New Roman" w:hAnsi="Times New Roman" w:cs="Times New Roman"/>
                <w:color w:val="3C4043"/>
                <w:sz w:val="20"/>
                <w:szCs w:val="20"/>
              </w:rPr>
              <w:t>DRB: Offensive Rebound Rate Allowed</w:t>
            </w:r>
          </w:p>
        </w:tc>
      </w:tr>
      <w:tr w:rsidR="00F31630" w14:paraId="6E15BBD7" w14:textId="77777777">
        <w:tc>
          <w:tcPr>
            <w:tcW w:w="4365" w:type="dxa"/>
            <w:shd w:val="clear" w:color="auto" w:fill="auto"/>
            <w:tcMar>
              <w:top w:w="100" w:type="dxa"/>
              <w:left w:w="100" w:type="dxa"/>
              <w:bottom w:w="100" w:type="dxa"/>
              <w:right w:w="100" w:type="dxa"/>
            </w:tcMar>
          </w:tcPr>
          <w:p w14:paraId="4BE85371" w14:textId="77777777" w:rsidR="00F31630" w:rsidRDefault="00000000">
            <w:pPr>
              <w:rPr>
                <w:rFonts w:ascii="Times New Roman" w:eastAsia="Times New Roman" w:hAnsi="Times New Roman" w:cs="Times New Roman"/>
                <w:sz w:val="20"/>
                <w:szCs w:val="20"/>
              </w:rPr>
            </w:pPr>
            <w:r>
              <w:rPr>
                <w:rFonts w:ascii="Times New Roman" w:eastAsia="Times New Roman" w:hAnsi="Times New Roman" w:cs="Times New Roman"/>
                <w:color w:val="3C4043"/>
                <w:sz w:val="20"/>
                <w:szCs w:val="20"/>
              </w:rPr>
              <w:t>ORB: Offensive Rebound Rate</w:t>
            </w:r>
          </w:p>
        </w:tc>
        <w:tc>
          <w:tcPr>
            <w:tcW w:w="5085" w:type="dxa"/>
            <w:shd w:val="clear" w:color="auto" w:fill="auto"/>
            <w:tcMar>
              <w:top w:w="100" w:type="dxa"/>
              <w:left w:w="100" w:type="dxa"/>
              <w:bottom w:w="100" w:type="dxa"/>
              <w:right w:w="100" w:type="dxa"/>
            </w:tcMar>
          </w:tcPr>
          <w:p w14:paraId="2AD5FB48" w14:textId="77777777" w:rsidR="00F31630" w:rsidRDefault="00000000">
            <w:pPr>
              <w:rPr>
                <w:rFonts w:ascii="Times New Roman" w:eastAsia="Times New Roman" w:hAnsi="Times New Roman" w:cs="Times New Roman"/>
                <w:sz w:val="20"/>
                <w:szCs w:val="20"/>
              </w:rPr>
            </w:pPr>
            <w:r>
              <w:rPr>
                <w:rFonts w:ascii="Times New Roman" w:eastAsia="Times New Roman" w:hAnsi="Times New Roman" w:cs="Times New Roman"/>
                <w:color w:val="3C4043"/>
                <w:sz w:val="20"/>
                <w:szCs w:val="20"/>
              </w:rPr>
              <w:t>DRB: Offensive Rebound Rate Allowed</w:t>
            </w:r>
          </w:p>
        </w:tc>
      </w:tr>
      <w:tr w:rsidR="00F31630" w14:paraId="6A84A3CB" w14:textId="77777777">
        <w:tc>
          <w:tcPr>
            <w:tcW w:w="4365" w:type="dxa"/>
            <w:shd w:val="clear" w:color="auto" w:fill="auto"/>
            <w:tcMar>
              <w:top w:w="100" w:type="dxa"/>
              <w:left w:w="100" w:type="dxa"/>
              <w:bottom w:w="100" w:type="dxa"/>
              <w:right w:w="100" w:type="dxa"/>
            </w:tcMar>
          </w:tcPr>
          <w:p w14:paraId="52D41A45" w14:textId="77777777" w:rsidR="00F31630" w:rsidRDefault="00000000">
            <w:pPr>
              <w:rPr>
                <w:rFonts w:ascii="Times New Roman" w:eastAsia="Times New Roman" w:hAnsi="Times New Roman" w:cs="Times New Roman"/>
                <w:sz w:val="20"/>
                <w:szCs w:val="20"/>
              </w:rPr>
            </w:pPr>
            <w:r>
              <w:rPr>
                <w:rFonts w:ascii="Times New Roman" w:eastAsia="Times New Roman" w:hAnsi="Times New Roman" w:cs="Times New Roman"/>
                <w:color w:val="3C4043"/>
                <w:sz w:val="20"/>
                <w:szCs w:val="20"/>
              </w:rPr>
              <w:t>FTR : Free Throw Rate</w:t>
            </w:r>
          </w:p>
        </w:tc>
        <w:tc>
          <w:tcPr>
            <w:tcW w:w="5085" w:type="dxa"/>
            <w:shd w:val="clear" w:color="auto" w:fill="auto"/>
            <w:tcMar>
              <w:top w:w="100" w:type="dxa"/>
              <w:left w:w="100" w:type="dxa"/>
              <w:bottom w:w="100" w:type="dxa"/>
              <w:right w:w="100" w:type="dxa"/>
            </w:tcMar>
          </w:tcPr>
          <w:p w14:paraId="2E00A9F3" w14:textId="77777777" w:rsidR="00F31630" w:rsidRDefault="00000000">
            <w:pPr>
              <w:rPr>
                <w:rFonts w:ascii="Times New Roman" w:eastAsia="Times New Roman" w:hAnsi="Times New Roman" w:cs="Times New Roman"/>
                <w:sz w:val="20"/>
                <w:szCs w:val="20"/>
              </w:rPr>
            </w:pPr>
            <w:r>
              <w:rPr>
                <w:rFonts w:ascii="Times New Roman" w:eastAsia="Times New Roman" w:hAnsi="Times New Roman" w:cs="Times New Roman"/>
                <w:color w:val="3C4043"/>
                <w:sz w:val="20"/>
                <w:szCs w:val="20"/>
              </w:rPr>
              <w:t>FTRD: Free Throw Rate Allowed</w:t>
            </w:r>
          </w:p>
        </w:tc>
      </w:tr>
      <w:tr w:rsidR="00F31630" w14:paraId="7073BAF0" w14:textId="77777777">
        <w:tc>
          <w:tcPr>
            <w:tcW w:w="4365" w:type="dxa"/>
            <w:shd w:val="clear" w:color="auto" w:fill="auto"/>
            <w:tcMar>
              <w:top w:w="100" w:type="dxa"/>
              <w:left w:w="100" w:type="dxa"/>
              <w:bottom w:w="100" w:type="dxa"/>
              <w:right w:w="100" w:type="dxa"/>
            </w:tcMar>
          </w:tcPr>
          <w:p w14:paraId="7D8C9EC0" w14:textId="77777777" w:rsidR="00F31630" w:rsidRDefault="00000000">
            <w:pPr>
              <w:rPr>
                <w:rFonts w:ascii="Times New Roman" w:eastAsia="Times New Roman" w:hAnsi="Times New Roman" w:cs="Times New Roman"/>
                <w:sz w:val="20"/>
                <w:szCs w:val="20"/>
              </w:rPr>
            </w:pPr>
            <w:r>
              <w:rPr>
                <w:rFonts w:ascii="Times New Roman" w:eastAsia="Times New Roman" w:hAnsi="Times New Roman" w:cs="Times New Roman"/>
                <w:color w:val="3C4043"/>
                <w:sz w:val="20"/>
                <w:szCs w:val="20"/>
              </w:rPr>
              <w:t>G: Number of games played</w:t>
            </w:r>
          </w:p>
        </w:tc>
        <w:tc>
          <w:tcPr>
            <w:tcW w:w="5085" w:type="dxa"/>
            <w:shd w:val="clear" w:color="auto" w:fill="auto"/>
            <w:tcMar>
              <w:top w:w="100" w:type="dxa"/>
              <w:left w:w="100" w:type="dxa"/>
              <w:bottom w:w="100" w:type="dxa"/>
              <w:right w:w="100" w:type="dxa"/>
            </w:tcMar>
          </w:tcPr>
          <w:p w14:paraId="16B31D32" w14:textId="77777777" w:rsidR="00F31630" w:rsidRDefault="00000000">
            <w:pPr>
              <w:rPr>
                <w:rFonts w:ascii="Times New Roman" w:eastAsia="Times New Roman" w:hAnsi="Times New Roman" w:cs="Times New Roman"/>
                <w:sz w:val="20"/>
                <w:szCs w:val="20"/>
              </w:rPr>
            </w:pPr>
            <w:r>
              <w:rPr>
                <w:rFonts w:ascii="Times New Roman" w:eastAsia="Times New Roman" w:hAnsi="Times New Roman" w:cs="Times New Roman"/>
                <w:color w:val="3C4043"/>
                <w:sz w:val="20"/>
                <w:szCs w:val="20"/>
              </w:rPr>
              <w:t>W: Number of games won</w:t>
            </w:r>
          </w:p>
        </w:tc>
      </w:tr>
      <w:tr w:rsidR="00F31630" w14:paraId="04A3015C" w14:textId="77777777">
        <w:tc>
          <w:tcPr>
            <w:tcW w:w="4365" w:type="dxa"/>
            <w:shd w:val="clear" w:color="auto" w:fill="auto"/>
            <w:tcMar>
              <w:top w:w="100" w:type="dxa"/>
              <w:left w:w="100" w:type="dxa"/>
              <w:bottom w:w="100" w:type="dxa"/>
              <w:right w:w="100" w:type="dxa"/>
            </w:tcMar>
          </w:tcPr>
          <w:p w14:paraId="22D776BC" w14:textId="77777777" w:rsidR="00F31630" w:rsidRDefault="00000000">
            <w:pPr>
              <w:rPr>
                <w:rFonts w:ascii="Times New Roman" w:eastAsia="Times New Roman" w:hAnsi="Times New Roman" w:cs="Times New Roman"/>
                <w:sz w:val="20"/>
                <w:szCs w:val="20"/>
              </w:rPr>
            </w:pPr>
            <w:r>
              <w:rPr>
                <w:rFonts w:ascii="Times New Roman" w:eastAsia="Times New Roman" w:hAnsi="Times New Roman" w:cs="Times New Roman"/>
                <w:color w:val="3C4043"/>
                <w:sz w:val="20"/>
                <w:szCs w:val="20"/>
              </w:rPr>
              <w:t>2P_O: Two-Point Shooting Percentage</w:t>
            </w:r>
          </w:p>
        </w:tc>
        <w:tc>
          <w:tcPr>
            <w:tcW w:w="5085" w:type="dxa"/>
            <w:shd w:val="clear" w:color="auto" w:fill="auto"/>
            <w:tcMar>
              <w:top w:w="100" w:type="dxa"/>
              <w:left w:w="100" w:type="dxa"/>
              <w:bottom w:w="100" w:type="dxa"/>
              <w:right w:w="100" w:type="dxa"/>
            </w:tcMar>
          </w:tcPr>
          <w:p w14:paraId="3EF2D35A" w14:textId="77777777" w:rsidR="00F31630" w:rsidRDefault="00000000">
            <w:pPr>
              <w:rPr>
                <w:rFonts w:ascii="Times New Roman" w:eastAsia="Times New Roman" w:hAnsi="Times New Roman" w:cs="Times New Roman"/>
                <w:sz w:val="20"/>
                <w:szCs w:val="20"/>
              </w:rPr>
            </w:pPr>
            <w:r>
              <w:rPr>
                <w:rFonts w:ascii="Times New Roman" w:eastAsia="Times New Roman" w:hAnsi="Times New Roman" w:cs="Times New Roman"/>
                <w:color w:val="3C4043"/>
                <w:sz w:val="20"/>
                <w:szCs w:val="20"/>
              </w:rPr>
              <w:t>2P_D: Two-Point Shooting Percentage Allowed</w:t>
            </w:r>
          </w:p>
        </w:tc>
      </w:tr>
      <w:tr w:rsidR="00F31630" w14:paraId="4F8E319E" w14:textId="77777777">
        <w:tc>
          <w:tcPr>
            <w:tcW w:w="4365" w:type="dxa"/>
            <w:shd w:val="clear" w:color="auto" w:fill="auto"/>
            <w:tcMar>
              <w:top w:w="100" w:type="dxa"/>
              <w:left w:w="100" w:type="dxa"/>
              <w:bottom w:w="100" w:type="dxa"/>
              <w:right w:w="100" w:type="dxa"/>
            </w:tcMar>
          </w:tcPr>
          <w:p w14:paraId="7C77DBD8" w14:textId="77777777" w:rsidR="00F31630" w:rsidRDefault="00000000">
            <w:pPr>
              <w:rPr>
                <w:rFonts w:ascii="Times New Roman" w:eastAsia="Times New Roman" w:hAnsi="Times New Roman" w:cs="Times New Roman"/>
                <w:sz w:val="20"/>
                <w:szCs w:val="20"/>
              </w:rPr>
            </w:pPr>
            <w:r>
              <w:rPr>
                <w:rFonts w:ascii="Times New Roman" w:eastAsia="Times New Roman" w:hAnsi="Times New Roman" w:cs="Times New Roman"/>
                <w:color w:val="3C4043"/>
                <w:sz w:val="20"/>
                <w:szCs w:val="20"/>
              </w:rPr>
              <w:t>3P_O: Three-Point Shooting Percentage</w:t>
            </w:r>
          </w:p>
        </w:tc>
        <w:tc>
          <w:tcPr>
            <w:tcW w:w="5085" w:type="dxa"/>
            <w:shd w:val="clear" w:color="auto" w:fill="auto"/>
            <w:tcMar>
              <w:top w:w="100" w:type="dxa"/>
              <w:left w:w="100" w:type="dxa"/>
              <w:bottom w:w="100" w:type="dxa"/>
              <w:right w:w="100" w:type="dxa"/>
            </w:tcMar>
          </w:tcPr>
          <w:p w14:paraId="1D39DADE" w14:textId="77777777" w:rsidR="00F31630" w:rsidRDefault="00000000">
            <w:pPr>
              <w:rPr>
                <w:rFonts w:ascii="Times New Roman" w:eastAsia="Times New Roman" w:hAnsi="Times New Roman" w:cs="Times New Roman"/>
                <w:color w:val="3C4043"/>
                <w:sz w:val="20"/>
                <w:szCs w:val="20"/>
              </w:rPr>
            </w:pPr>
            <w:r>
              <w:rPr>
                <w:rFonts w:ascii="Times New Roman" w:eastAsia="Times New Roman" w:hAnsi="Times New Roman" w:cs="Times New Roman"/>
                <w:color w:val="3C4043"/>
                <w:sz w:val="20"/>
                <w:szCs w:val="20"/>
              </w:rPr>
              <w:t>3P_D: Three-Point Shooting Percentage Allowed</w:t>
            </w:r>
          </w:p>
        </w:tc>
      </w:tr>
      <w:tr w:rsidR="00F31630" w14:paraId="770C6280" w14:textId="77777777">
        <w:tc>
          <w:tcPr>
            <w:tcW w:w="4365" w:type="dxa"/>
            <w:shd w:val="clear" w:color="auto" w:fill="auto"/>
            <w:tcMar>
              <w:top w:w="100" w:type="dxa"/>
              <w:left w:w="100" w:type="dxa"/>
              <w:bottom w:w="100" w:type="dxa"/>
              <w:right w:w="100" w:type="dxa"/>
            </w:tcMar>
          </w:tcPr>
          <w:p w14:paraId="1D12525E" w14:textId="77777777" w:rsidR="00F31630" w:rsidRDefault="00000000">
            <w:pPr>
              <w:rPr>
                <w:rFonts w:ascii="Times New Roman" w:eastAsia="Times New Roman" w:hAnsi="Times New Roman" w:cs="Times New Roman"/>
                <w:sz w:val="20"/>
                <w:szCs w:val="20"/>
              </w:rPr>
            </w:pPr>
            <w:r>
              <w:rPr>
                <w:rFonts w:ascii="Times New Roman" w:eastAsia="Times New Roman" w:hAnsi="Times New Roman" w:cs="Times New Roman"/>
                <w:color w:val="3C4043"/>
                <w:sz w:val="20"/>
                <w:szCs w:val="20"/>
              </w:rPr>
              <w:t>ADJOE: Adjusted Offensive Efficiency (points scored per 100 possessions)</w:t>
            </w:r>
          </w:p>
        </w:tc>
        <w:tc>
          <w:tcPr>
            <w:tcW w:w="5085" w:type="dxa"/>
            <w:shd w:val="clear" w:color="auto" w:fill="auto"/>
            <w:tcMar>
              <w:top w:w="100" w:type="dxa"/>
              <w:left w:w="100" w:type="dxa"/>
              <w:bottom w:w="100" w:type="dxa"/>
              <w:right w:w="100" w:type="dxa"/>
            </w:tcMar>
          </w:tcPr>
          <w:p w14:paraId="62EE9D10" w14:textId="77777777" w:rsidR="00F31630" w:rsidRDefault="00000000">
            <w:pPr>
              <w:rPr>
                <w:rFonts w:ascii="Times New Roman" w:eastAsia="Times New Roman" w:hAnsi="Times New Roman" w:cs="Times New Roman"/>
                <w:color w:val="3C4043"/>
                <w:sz w:val="20"/>
                <w:szCs w:val="20"/>
              </w:rPr>
            </w:pPr>
            <w:r>
              <w:rPr>
                <w:rFonts w:ascii="Times New Roman" w:eastAsia="Times New Roman" w:hAnsi="Times New Roman" w:cs="Times New Roman"/>
                <w:color w:val="3C4043"/>
                <w:sz w:val="20"/>
                <w:szCs w:val="20"/>
              </w:rPr>
              <w:t>ADJDE: Adjusted Defensive Efficiency  (points allowed per 100 possessions)</w:t>
            </w:r>
          </w:p>
        </w:tc>
      </w:tr>
      <w:tr w:rsidR="00F31630" w14:paraId="69AD14AF" w14:textId="77777777">
        <w:tc>
          <w:tcPr>
            <w:tcW w:w="4365" w:type="dxa"/>
            <w:shd w:val="clear" w:color="auto" w:fill="auto"/>
            <w:tcMar>
              <w:top w:w="100" w:type="dxa"/>
              <w:left w:w="100" w:type="dxa"/>
              <w:bottom w:w="100" w:type="dxa"/>
              <w:right w:w="100" w:type="dxa"/>
            </w:tcMar>
          </w:tcPr>
          <w:p w14:paraId="312BB3B9" w14:textId="77777777" w:rsidR="00F31630" w:rsidRDefault="00000000">
            <w:pPr>
              <w:rPr>
                <w:rFonts w:ascii="Times New Roman" w:eastAsia="Times New Roman" w:hAnsi="Times New Roman" w:cs="Times New Roman"/>
                <w:color w:val="3C4043"/>
                <w:sz w:val="20"/>
                <w:szCs w:val="20"/>
              </w:rPr>
            </w:pPr>
            <w:r>
              <w:rPr>
                <w:rFonts w:ascii="Times New Roman" w:eastAsia="Times New Roman" w:hAnsi="Times New Roman" w:cs="Times New Roman"/>
                <w:color w:val="3C4043"/>
                <w:sz w:val="20"/>
                <w:szCs w:val="20"/>
              </w:rPr>
              <w:t>WAB: Wins Above Bubble (The bubble refers to the cut off between making the NCAA March Madness Tournament and not making it)</w:t>
            </w:r>
          </w:p>
        </w:tc>
        <w:tc>
          <w:tcPr>
            <w:tcW w:w="5085" w:type="dxa"/>
            <w:shd w:val="clear" w:color="auto" w:fill="auto"/>
            <w:tcMar>
              <w:top w:w="100" w:type="dxa"/>
              <w:left w:w="100" w:type="dxa"/>
              <w:bottom w:w="100" w:type="dxa"/>
              <w:right w:w="100" w:type="dxa"/>
            </w:tcMar>
          </w:tcPr>
          <w:p w14:paraId="749A9759" w14:textId="77777777" w:rsidR="00F31630" w:rsidRDefault="00000000">
            <w:pPr>
              <w:rPr>
                <w:rFonts w:ascii="Times New Roman" w:eastAsia="Times New Roman" w:hAnsi="Times New Roman" w:cs="Times New Roman"/>
                <w:sz w:val="20"/>
                <w:szCs w:val="20"/>
              </w:rPr>
            </w:pPr>
            <w:r>
              <w:rPr>
                <w:rFonts w:ascii="Times New Roman" w:eastAsia="Times New Roman" w:hAnsi="Times New Roman" w:cs="Times New Roman"/>
                <w:color w:val="3C4043"/>
                <w:sz w:val="20"/>
                <w:szCs w:val="20"/>
              </w:rPr>
              <w:t>ADJ_T: Adjusted Tempo (An estimate of the tempo (possessions per 40 minutes) a team would have against the team that wants to play at an average Division I tempo)</w:t>
            </w:r>
          </w:p>
        </w:tc>
      </w:tr>
      <w:tr w:rsidR="00F31630" w14:paraId="5BF570FE" w14:textId="77777777">
        <w:tc>
          <w:tcPr>
            <w:tcW w:w="4365" w:type="dxa"/>
            <w:shd w:val="clear" w:color="auto" w:fill="auto"/>
            <w:tcMar>
              <w:top w:w="100" w:type="dxa"/>
              <w:left w:w="100" w:type="dxa"/>
              <w:bottom w:w="100" w:type="dxa"/>
              <w:right w:w="100" w:type="dxa"/>
            </w:tcMar>
          </w:tcPr>
          <w:p w14:paraId="2FFF7862" w14:textId="77777777" w:rsidR="00F31630" w:rsidRDefault="00000000">
            <w:pPr>
              <w:rPr>
                <w:rFonts w:ascii="Times New Roman" w:eastAsia="Times New Roman" w:hAnsi="Times New Roman" w:cs="Times New Roman"/>
                <w:sz w:val="20"/>
                <w:szCs w:val="20"/>
              </w:rPr>
            </w:pPr>
            <w:r>
              <w:rPr>
                <w:rFonts w:ascii="Times New Roman" w:eastAsia="Times New Roman" w:hAnsi="Times New Roman" w:cs="Times New Roman"/>
                <w:color w:val="3C4043"/>
                <w:sz w:val="20"/>
                <w:szCs w:val="20"/>
              </w:rPr>
              <w:t>EFG_O: Effective Field Goal Percentage Shot</w:t>
            </w:r>
          </w:p>
        </w:tc>
        <w:tc>
          <w:tcPr>
            <w:tcW w:w="5085" w:type="dxa"/>
            <w:shd w:val="clear" w:color="auto" w:fill="auto"/>
            <w:tcMar>
              <w:top w:w="100" w:type="dxa"/>
              <w:left w:w="100" w:type="dxa"/>
              <w:bottom w:w="100" w:type="dxa"/>
              <w:right w:w="100" w:type="dxa"/>
            </w:tcMar>
          </w:tcPr>
          <w:p w14:paraId="76BA1646" w14:textId="77777777" w:rsidR="00F31630" w:rsidRDefault="00000000">
            <w:pPr>
              <w:rPr>
                <w:rFonts w:ascii="Times New Roman" w:eastAsia="Times New Roman" w:hAnsi="Times New Roman" w:cs="Times New Roman"/>
                <w:sz w:val="20"/>
                <w:szCs w:val="20"/>
              </w:rPr>
            </w:pPr>
            <w:r>
              <w:rPr>
                <w:rFonts w:ascii="Times New Roman" w:eastAsia="Times New Roman" w:hAnsi="Times New Roman" w:cs="Times New Roman"/>
                <w:color w:val="3C4043"/>
                <w:sz w:val="20"/>
                <w:szCs w:val="20"/>
              </w:rPr>
              <w:t>EFG_D: Effective Field Goal Percentage Allowed</w:t>
            </w:r>
          </w:p>
        </w:tc>
      </w:tr>
      <w:tr w:rsidR="00F31630" w14:paraId="030722DE" w14:textId="77777777">
        <w:tc>
          <w:tcPr>
            <w:tcW w:w="4365" w:type="dxa"/>
            <w:shd w:val="clear" w:color="auto" w:fill="auto"/>
            <w:tcMar>
              <w:top w:w="100" w:type="dxa"/>
              <w:left w:w="100" w:type="dxa"/>
              <w:bottom w:w="100" w:type="dxa"/>
              <w:right w:w="100" w:type="dxa"/>
            </w:tcMar>
          </w:tcPr>
          <w:p w14:paraId="71FC99F6" w14:textId="77777777" w:rsidR="00F31630" w:rsidRDefault="00000000">
            <w:pPr>
              <w:rPr>
                <w:rFonts w:ascii="Times New Roman" w:eastAsia="Times New Roman" w:hAnsi="Times New Roman" w:cs="Times New Roman"/>
                <w:color w:val="3C4043"/>
                <w:sz w:val="20"/>
                <w:szCs w:val="20"/>
              </w:rPr>
            </w:pPr>
            <w:r>
              <w:rPr>
                <w:rFonts w:ascii="Times New Roman" w:eastAsia="Times New Roman" w:hAnsi="Times New Roman" w:cs="Times New Roman"/>
                <w:color w:val="3C4043"/>
                <w:sz w:val="20"/>
                <w:szCs w:val="20"/>
              </w:rPr>
              <w:t>WAB: Wins Above Bubble (The bubble refers to the cut off between making the NCAA March Madness Tournament and not making it)</w:t>
            </w:r>
          </w:p>
        </w:tc>
        <w:tc>
          <w:tcPr>
            <w:tcW w:w="5085" w:type="dxa"/>
            <w:shd w:val="clear" w:color="auto" w:fill="auto"/>
            <w:tcMar>
              <w:top w:w="100" w:type="dxa"/>
              <w:left w:w="100" w:type="dxa"/>
              <w:bottom w:w="100" w:type="dxa"/>
              <w:right w:w="100" w:type="dxa"/>
            </w:tcMar>
          </w:tcPr>
          <w:p w14:paraId="02AB5C78" w14:textId="77777777" w:rsidR="00F31630" w:rsidRDefault="00000000">
            <w:pPr>
              <w:rPr>
                <w:rFonts w:ascii="Times New Roman" w:eastAsia="Times New Roman" w:hAnsi="Times New Roman" w:cs="Times New Roman"/>
                <w:sz w:val="20"/>
                <w:szCs w:val="20"/>
              </w:rPr>
            </w:pPr>
            <w:r>
              <w:rPr>
                <w:rFonts w:ascii="Times New Roman" w:eastAsia="Times New Roman" w:hAnsi="Times New Roman" w:cs="Times New Roman"/>
                <w:color w:val="3C4043"/>
                <w:sz w:val="20"/>
                <w:szCs w:val="20"/>
              </w:rPr>
              <w:t>POSTSEASON: Round where the given team was eliminated or where their season ended</w:t>
            </w:r>
          </w:p>
        </w:tc>
      </w:tr>
      <w:tr w:rsidR="00F31630" w14:paraId="74BFB254" w14:textId="77777777">
        <w:tc>
          <w:tcPr>
            <w:tcW w:w="4365" w:type="dxa"/>
            <w:shd w:val="clear" w:color="auto" w:fill="auto"/>
            <w:tcMar>
              <w:top w:w="100" w:type="dxa"/>
              <w:left w:w="100" w:type="dxa"/>
              <w:bottom w:w="100" w:type="dxa"/>
              <w:right w:w="100" w:type="dxa"/>
            </w:tcMar>
          </w:tcPr>
          <w:p w14:paraId="43D145C3" w14:textId="77777777" w:rsidR="00F31630" w:rsidRDefault="00000000">
            <w:pPr>
              <w:rPr>
                <w:rFonts w:ascii="Times New Roman" w:eastAsia="Times New Roman" w:hAnsi="Times New Roman" w:cs="Times New Roman"/>
                <w:sz w:val="20"/>
                <w:szCs w:val="20"/>
              </w:rPr>
            </w:pPr>
            <w:r>
              <w:rPr>
                <w:rFonts w:ascii="Times New Roman" w:eastAsia="Times New Roman" w:hAnsi="Times New Roman" w:cs="Times New Roman"/>
                <w:color w:val="3C4043"/>
                <w:sz w:val="20"/>
                <w:szCs w:val="20"/>
              </w:rPr>
              <w:t>TOR: Turnover Percentage Allowed (Turnover Rate)</w:t>
            </w:r>
          </w:p>
        </w:tc>
        <w:tc>
          <w:tcPr>
            <w:tcW w:w="5085" w:type="dxa"/>
            <w:shd w:val="clear" w:color="auto" w:fill="auto"/>
            <w:tcMar>
              <w:top w:w="100" w:type="dxa"/>
              <w:left w:w="100" w:type="dxa"/>
              <w:bottom w:w="100" w:type="dxa"/>
              <w:right w:w="100" w:type="dxa"/>
            </w:tcMar>
          </w:tcPr>
          <w:p w14:paraId="4E6E33A2" w14:textId="77777777" w:rsidR="00F31630" w:rsidRDefault="00000000">
            <w:pPr>
              <w:rPr>
                <w:rFonts w:ascii="Times New Roman" w:eastAsia="Times New Roman" w:hAnsi="Times New Roman" w:cs="Times New Roman"/>
                <w:sz w:val="20"/>
                <w:szCs w:val="20"/>
              </w:rPr>
            </w:pPr>
            <w:r>
              <w:rPr>
                <w:rFonts w:ascii="Times New Roman" w:eastAsia="Times New Roman" w:hAnsi="Times New Roman" w:cs="Times New Roman"/>
                <w:color w:val="3C4043"/>
                <w:sz w:val="20"/>
                <w:szCs w:val="20"/>
              </w:rPr>
              <w:t>TORD: Turnover Percentage Committed (Steal Rate)</w:t>
            </w:r>
          </w:p>
        </w:tc>
      </w:tr>
      <w:tr w:rsidR="00F31630" w14:paraId="302546ED" w14:textId="77777777">
        <w:tc>
          <w:tcPr>
            <w:tcW w:w="4365" w:type="dxa"/>
            <w:shd w:val="clear" w:color="auto" w:fill="auto"/>
            <w:tcMar>
              <w:top w:w="100" w:type="dxa"/>
              <w:left w:w="100" w:type="dxa"/>
              <w:bottom w:w="100" w:type="dxa"/>
              <w:right w:w="100" w:type="dxa"/>
            </w:tcMar>
          </w:tcPr>
          <w:p w14:paraId="7929309B" w14:textId="77777777" w:rsidR="00F31630" w:rsidRDefault="00000000">
            <w:pPr>
              <w:rPr>
                <w:rFonts w:ascii="Times New Roman" w:eastAsia="Times New Roman" w:hAnsi="Times New Roman" w:cs="Times New Roman"/>
                <w:sz w:val="20"/>
                <w:szCs w:val="20"/>
              </w:rPr>
            </w:pPr>
            <w:r>
              <w:rPr>
                <w:rFonts w:ascii="Times New Roman" w:eastAsia="Times New Roman" w:hAnsi="Times New Roman" w:cs="Times New Roman"/>
                <w:color w:val="3C4043"/>
                <w:sz w:val="20"/>
                <w:szCs w:val="20"/>
              </w:rPr>
              <w:lastRenderedPageBreak/>
              <w:t>SEED: Seed in the NCAA March Madness Tournament</w:t>
            </w:r>
          </w:p>
        </w:tc>
        <w:tc>
          <w:tcPr>
            <w:tcW w:w="5085" w:type="dxa"/>
            <w:shd w:val="clear" w:color="auto" w:fill="auto"/>
            <w:tcMar>
              <w:top w:w="100" w:type="dxa"/>
              <w:left w:w="100" w:type="dxa"/>
              <w:bottom w:w="100" w:type="dxa"/>
              <w:right w:w="100" w:type="dxa"/>
            </w:tcMar>
          </w:tcPr>
          <w:p w14:paraId="3C3AA052" w14:textId="77777777" w:rsidR="00F31630" w:rsidRDefault="00000000">
            <w:pPr>
              <w:rPr>
                <w:rFonts w:ascii="Times New Roman" w:eastAsia="Times New Roman" w:hAnsi="Times New Roman" w:cs="Times New Roman"/>
                <w:sz w:val="20"/>
                <w:szCs w:val="20"/>
              </w:rPr>
            </w:pPr>
            <w:r>
              <w:rPr>
                <w:rFonts w:ascii="Times New Roman" w:eastAsia="Times New Roman" w:hAnsi="Times New Roman" w:cs="Times New Roman"/>
                <w:color w:val="3C4043"/>
                <w:sz w:val="20"/>
                <w:szCs w:val="20"/>
              </w:rPr>
              <w:t>YEAR: Season</w:t>
            </w:r>
          </w:p>
        </w:tc>
      </w:tr>
      <w:tr w:rsidR="00F31630" w14:paraId="3E8E1EAB" w14:textId="77777777">
        <w:tc>
          <w:tcPr>
            <w:tcW w:w="4365" w:type="dxa"/>
            <w:shd w:val="clear" w:color="auto" w:fill="auto"/>
            <w:tcMar>
              <w:top w:w="100" w:type="dxa"/>
              <w:left w:w="100" w:type="dxa"/>
              <w:bottom w:w="100" w:type="dxa"/>
              <w:right w:w="100" w:type="dxa"/>
            </w:tcMar>
          </w:tcPr>
          <w:p w14:paraId="211EC379" w14:textId="77777777" w:rsidR="00F31630" w:rsidRDefault="00000000">
            <w:pPr>
              <w:rPr>
                <w:rFonts w:ascii="Times New Roman" w:eastAsia="Times New Roman" w:hAnsi="Times New Roman" w:cs="Times New Roman"/>
                <w:sz w:val="20"/>
                <w:szCs w:val="20"/>
              </w:rPr>
            </w:pPr>
            <w:r>
              <w:rPr>
                <w:rFonts w:ascii="Times New Roman" w:eastAsia="Times New Roman" w:hAnsi="Times New Roman" w:cs="Times New Roman"/>
                <w:color w:val="3C4043"/>
                <w:sz w:val="20"/>
                <w:szCs w:val="20"/>
              </w:rPr>
              <w:t>CONF: The Athletic Conference in which the school participates in</w:t>
            </w:r>
          </w:p>
        </w:tc>
        <w:tc>
          <w:tcPr>
            <w:tcW w:w="5085" w:type="dxa"/>
            <w:shd w:val="clear" w:color="auto" w:fill="auto"/>
            <w:tcMar>
              <w:top w:w="100" w:type="dxa"/>
              <w:left w:w="100" w:type="dxa"/>
              <w:bottom w:w="100" w:type="dxa"/>
              <w:right w:w="100" w:type="dxa"/>
            </w:tcMar>
          </w:tcPr>
          <w:p w14:paraId="343DB679" w14:textId="77777777" w:rsidR="00F31630" w:rsidRDefault="00000000">
            <w:pPr>
              <w:rPr>
                <w:rFonts w:ascii="Times New Roman" w:eastAsia="Times New Roman" w:hAnsi="Times New Roman" w:cs="Times New Roman"/>
                <w:sz w:val="20"/>
                <w:szCs w:val="20"/>
              </w:rPr>
            </w:pPr>
            <w:r>
              <w:rPr>
                <w:rFonts w:ascii="Times New Roman" w:eastAsia="Times New Roman" w:hAnsi="Times New Roman" w:cs="Times New Roman"/>
                <w:color w:val="3C4043"/>
                <w:sz w:val="20"/>
                <w:szCs w:val="20"/>
              </w:rPr>
              <w:t xml:space="preserve">PRE-COVID: </w:t>
            </w:r>
            <w:proofErr w:type="gramStart"/>
            <w:r>
              <w:rPr>
                <w:rFonts w:ascii="Times New Roman" w:eastAsia="Times New Roman" w:hAnsi="Times New Roman" w:cs="Times New Roman"/>
                <w:color w:val="3C4043"/>
                <w:sz w:val="20"/>
                <w:szCs w:val="20"/>
              </w:rPr>
              <w:t>Whether or not</w:t>
            </w:r>
            <w:proofErr w:type="gramEnd"/>
            <w:r>
              <w:rPr>
                <w:rFonts w:ascii="Times New Roman" w:eastAsia="Times New Roman" w:hAnsi="Times New Roman" w:cs="Times New Roman"/>
                <w:color w:val="3C4043"/>
                <w:sz w:val="20"/>
                <w:szCs w:val="20"/>
              </w:rPr>
              <w:t xml:space="preserve"> the data came from a year before the coronavirus</w:t>
            </w:r>
          </w:p>
        </w:tc>
      </w:tr>
    </w:tbl>
    <w:p w14:paraId="6D3B505F" w14:textId="77777777" w:rsidR="00F31630" w:rsidRDefault="00F31630">
      <w:pPr>
        <w:ind w:left="720"/>
        <w:jc w:val="both"/>
        <w:rPr>
          <w:rFonts w:ascii="Times New Roman" w:eastAsia="Times New Roman" w:hAnsi="Times New Roman" w:cs="Times New Roman"/>
          <w:color w:val="3C4043"/>
          <w:sz w:val="24"/>
          <w:szCs w:val="24"/>
        </w:rPr>
      </w:pPr>
    </w:p>
    <w:p w14:paraId="17874CF1" w14:textId="77777777" w:rsidR="00F3163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sz w:val="30"/>
          <w:szCs w:val="30"/>
          <w:u w:val="single"/>
        </w:rPr>
        <w:t>Data Cleaning</w:t>
      </w:r>
    </w:p>
    <w:p w14:paraId="3C9F79EA" w14:textId="77777777" w:rsidR="00F3163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cleaning process has been split into four parts: interpretation, consolidation, deletion, and addition. With our group having varying knowledge of basketball and some of the specific statistics that they recorded, it was important for each of us to understand what each attribute in the dataset meant. The second part was consolidation. The data itself was generally </w:t>
      </w:r>
      <w:proofErr w:type="gramStart"/>
      <w:r>
        <w:rPr>
          <w:rFonts w:ascii="Times New Roman" w:eastAsia="Times New Roman" w:hAnsi="Times New Roman" w:cs="Times New Roman"/>
          <w:sz w:val="24"/>
          <w:szCs w:val="24"/>
        </w:rPr>
        <w:t>clean, but</w:t>
      </w:r>
      <w:proofErr w:type="gramEnd"/>
      <w:r>
        <w:rPr>
          <w:rFonts w:ascii="Times New Roman" w:eastAsia="Times New Roman" w:hAnsi="Times New Roman" w:cs="Times New Roman"/>
          <w:sz w:val="24"/>
          <w:szCs w:val="24"/>
        </w:rPr>
        <w:t xml:space="preserve"> was split by year; to accurately model year over year, we consolidated each year of data into a single master file that we all used when performing our analysis and further manipulation to the dataset.</w:t>
      </w:r>
    </w:p>
    <w:p w14:paraId="4D14E0F8" w14:textId="77777777" w:rsidR="00F3163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data consolidation choices prompted us to add a YEAR column to indicate the season that the data is from. Additionally, we added a PRE_COVID column to indicate whether the season of data was before the coronavirus had impacted their season, or post to reflect our intentions to analyze performance factors categorized this way as mentioned in the introduction. Importantly, the 2020 season did not have a March Madness tournament, and therefore columns related to such (WAB, POSTSEASON, and SEED) were omitted.</w:t>
      </w:r>
    </w:p>
    <w:p w14:paraId="35077791" w14:textId="77777777" w:rsidR="00F31630" w:rsidRDefault="00F31630">
      <w:pPr>
        <w:jc w:val="both"/>
        <w:rPr>
          <w:rFonts w:ascii="Times New Roman" w:eastAsia="Times New Roman" w:hAnsi="Times New Roman" w:cs="Times New Roman"/>
          <w:sz w:val="24"/>
          <w:szCs w:val="24"/>
        </w:rPr>
      </w:pPr>
    </w:p>
    <w:p w14:paraId="7A82B79C" w14:textId="77777777" w:rsidR="00F3163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sz w:val="30"/>
          <w:szCs w:val="30"/>
          <w:u w:val="single"/>
        </w:rPr>
        <w:t>Data Limitations and Considerations</w:t>
      </w:r>
    </w:p>
    <w:p w14:paraId="03CAD5E2" w14:textId="77777777" w:rsidR="00F3163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conducting our exploratory data analysis and modeling, we consistently look at the wins and win percentage of teams and whole conferences as these are likely to be the variables with the highest interest for those looking to spot strategic and profitable opportunities in the sports world and make informed decisions. </w:t>
      </w:r>
      <w:proofErr w:type="gramStart"/>
      <w:r>
        <w:rPr>
          <w:rFonts w:ascii="Times New Roman" w:eastAsia="Times New Roman" w:hAnsi="Times New Roman" w:cs="Times New Roman"/>
          <w:sz w:val="24"/>
          <w:szCs w:val="24"/>
        </w:rPr>
        <w:t>Win</w:t>
      </w:r>
      <w:proofErr w:type="gramEnd"/>
      <w:r>
        <w:rPr>
          <w:rFonts w:ascii="Times New Roman" w:eastAsia="Times New Roman" w:hAnsi="Times New Roman" w:cs="Times New Roman"/>
          <w:sz w:val="24"/>
          <w:szCs w:val="24"/>
        </w:rPr>
        <w:t xml:space="preserve"> percentage is calculated by dividing the total number of games that the team won </w:t>
      </w:r>
      <w:proofErr w:type="gramStart"/>
      <w:r>
        <w:rPr>
          <w:rFonts w:ascii="Times New Roman" w:eastAsia="Times New Roman" w:hAnsi="Times New Roman" w:cs="Times New Roman"/>
          <w:sz w:val="24"/>
          <w:szCs w:val="24"/>
        </w:rPr>
        <w:t>in a given year</w:t>
      </w:r>
      <w:proofErr w:type="gramEnd"/>
      <w:r>
        <w:rPr>
          <w:rFonts w:ascii="Times New Roman" w:eastAsia="Times New Roman" w:hAnsi="Times New Roman" w:cs="Times New Roman"/>
          <w:sz w:val="24"/>
          <w:szCs w:val="24"/>
        </w:rPr>
        <w:t xml:space="preserve"> by the total number of games that they played in a given year.</w:t>
      </w:r>
    </w:p>
    <w:p w14:paraId="177BFC78" w14:textId="77777777" w:rsidR="00F3163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However, the interpretation of win percentage and general wins is more nuanced and complex when accounting for the variations in difficulty among conferences and the number of games played, respectively. Some more competitive conferences, such as those in the Power 5, produce a significantly larger number of teams that appear in the March Madness tournament. This tournament appearance, seeding, and final placement are the best gauge of national ranking and success, rather than only looking at the performance of teams within their conference. The scatter plots and accompanying R-squared values help better visualize the nuance, showing the win percentage by the number of March Madness appearances both by conference and individual teams. You would assume that teams with a higher win percentage have more appearances in the tournament, but this is simply not the case. Looking at all conferences, we see an R-squared value of 0.428 and an R-squared value of 0.511 among teams. However, when comparing conferences and individual teams that are a part of the Power 5, we see a higher correlation with an R-squared value of 0.557 for conferences and 0.785 for individual teams.</w:t>
      </w:r>
    </w:p>
    <w:p w14:paraId="0A91585F" w14:textId="77777777" w:rsidR="00F31630" w:rsidRDefault="00000000">
      <w:pPr>
        <w:jc w:val="center"/>
        <w:rPr>
          <w:rFonts w:ascii="Times New Roman" w:eastAsia="Times New Roman" w:hAnsi="Times New Roman" w:cs="Times New Roman"/>
          <w:sz w:val="24"/>
          <w:szCs w:val="24"/>
        </w:rPr>
      </w:pPr>
      <w:r>
        <w:rPr>
          <w:noProof/>
        </w:rPr>
        <w:lastRenderedPageBreak/>
        <w:drawing>
          <wp:anchor distT="114300" distB="114300" distL="114300" distR="114300" simplePos="0" relativeHeight="251658240" behindDoc="0" locked="0" layoutInCell="1" hidden="0" allowOverlap="1" wp14:anchorId="2164EEA4" wp14:editId="3823D8B4">
            <wp:simplePos x="0" y="0"/>
            <wp:positionH relativeFrom="column">
              <wp:posOffset>2419350</wp:posOffset>
            </wp:positionH>
            <wp:positionV relativeFrom="paragraph">
              <wp:posOffset>114300</wp:posOffset>
            </wp:positionV>
            <wp:extent cx="1719263" cy="1396307"/>
            <wp:effectExtent l="12700" t="12700" r="12700" b="12700"/>
            <wp:wrapSquare wrapText="bothSides" distT="114300" distB="114300" distL="114300" distR="11430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1719263" cy="1396307"/>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59264" behindDoc="0" locked="0" layoutInCell="1" hidden="0" allowOverlap="1" wp14:anchorId="523D4409" wp14:editId="1367F486">
            <wp:simplePos x="0" y="0"/>
            <wp:positionH relativeFrom="column">
              <wp:posOffset>4162425</wp:posOffset>
            </wp:positionH>
            <wp:positionV relativeFrom="paragraph">
              <wp:posOffset>114300</wp:posOffset>
            </wp:positionV>
            <wp:extent cx="1762125" cy="1433438"/>
            <wp:effectExtent l="12700" t="12700" r="12700" b="12700"/>
            <wp:wrapSquare wrapText="bothSides" distT="114300" distB="114300" distL="114300" distR="11430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b="1594"/>
                    <a:stretch>
                      <a:fillRect/>
                    </a:stretch>
                  </pic:blipFill>
                  <pic:spPr>
                    <a:xfrm>
                      <a:off x="0" y="0"/>
                      <a:ext cx="1762125" cy="1433438"/>
                    </a:xfrm>
                    <a:prstGeom prst="rect">
                      <a:avLst/>
                    </a:prstGeom>
                    <a:ln w="12700">
                      <a:solidFill>
                        <a:srgbClr val="000000"/>
                      </a:solidFill>
                      <a:prstDash val="solid"/>
                    </a:ln>
                  </pic:spPr>
                </pic:pic>
              </a:graphicData>
            </a:graphic>
          </wp:anchor>
        </w:drawing>
      </w:r>
    </w:p>
    <w:p w14:paraId="04F7E0A6" w14:textId="77777777" w:rsidR="00F31630" w:rsidRDefault="00F31630">
      <w:pPr>
        <w:jc w:val="center"/>
        <w:rPr>
          <w:rFonts w:ascii="Times New Roman" w:eastAsia="Times New Roman" w:hAnsi="Times New Roman" w:cs="Times New Roman"/>
          <w:sz w:val="24"/>
          <w:szCs w:val="24"/>
        </w:rPr>
      </w:pPr>
    </w:p>
    <w:p w14:paraId="3471F342" w14:textId="77777777" w:rsidR="00F3163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means that within the Power 5,</w:t>
      </w:r>
      <w:r>
        <w:rPr>
          <w:rFonts w:ascii="Times New Roman" w:eastAsia="Times New Roman" w:hAnsi="Times New Roman" w:cs="Times New Roman"/>
          <w:sz w:val="24"/>
          <w:szCs w:val="24"/>
        </w:rPr>
        <w:tab/>
        <w:t xml:space="preserve"> both by conference and by team, that win percentage better explains March  Madness appearances compared to looking at all conferences. Keeping this information in mind, while specific analysis and modeling may seem close in results for all conferences and Power 5, we have determined that looking at Power 5</w:t>
      </w:r>
      <w:r>
        <w:rPr>
          <w:rFonts w:ascii="Times New Roman" w:eastAsia="Times New Roman" w:hAnsi="Times New Roman" w:cs="Times New Roman"/>
          <w:sz w:val="24"/>
          <w:szCs w:val="24"/>
        </w:rPr>
        <w:tab/>
        <w:t xml:space="preserve"> solely can provide more telling information.</w:t>
      </w:r>
      <w:r>
        <w:rPr>
          <w:noProof/>
        </w:rPr>
        <w:drawing>
          <wp:anchor distT="114300" distB="114300" distL="114300" distR="114300" simplePos="0" relativeHeight="251660288" behindDoc="0" locked="0" layoutInCell="1" hidden="0" allowOverlap="1" wp14:anchorId="161C77B3" wp14:editId="5D28B849">
            <wp:simplePos x="0" y="0"/>
            <wp:positionH relativeFrom="column">
              <wp:posOffset>2409825</wp:posOffset>
            </wp:positionH>
            <wp:positionV relativeFrom="paragraph">
              <wp:posOffset>1095375</wp:posOffset>
            </wp:positionV>
            <wp:extent cx="1743075" cy="1457032"/>
            <wp:effectExtent l="12700" t="12700" r="12700" b="12700"/>
            <wp:wrapSquare wrapText="bothSides" distT="114300" distB="114300" distL="114300" distR="11430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1743075" cy="1457032"/>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61312" behindDoc="0" locked="0" layoutInCell="1" hidden="0" allowOverlap="1" wp14:anchorId="7E32B370" wp14:editId="7A1AD79B">
            <wp:simplePos x="0" y="0"/>
            <wp:positionH relativeFrom="column">
              <wp:posOffset>4162425</wp:posOffset>
            </wp:positionH>
            <wp:positionV relativeFrom="paragraph">
              <wp:posOffset>1085850</wp:posOffset>
            </wp:positionV>
            <wp:extent cx="1762125" cy="1472956"/>
            <wp:effectExtent l="12700" t="12700" r="12700" b="12700"/>
            <wp:wrapSquare wrapText="bothSides" distT="114300" distB="114300" distL="114300" distR="11430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1762125" cy="1472956"/>
                    </a:xfrm>
                    <a:prstGeom prst="rect">
                      <a:avLst/>
                    </a:prstGeom>
                    <a:ln w="12700">
                      <a:solidFill>
                        <a:srgbClr val="000000"/>
                      </a:solidFill>
                      <a:prstDash val="solid"/>
                    </a:ln>
                  </pic:spPr>
                </pic:pic>
              </a:graphicData>
            </a:graphic>
          </wp:anchor>
        </w:drawing>
      </w:r>
    </w:p>
    <w:p w14:paraId="128DF23D" w14:textId="77777777" w:rsidR="00F31630" w:rsidRDefault="00F31630">
      <w:pPr>
        <w:jc w:val="both"/>
        <w:rPr>
          <w:rFonts w:ascii="Times New Roman" w:eastAsia="Times New Roman" w:hAnsi="Times New Roman" w:cs="Times New Roman"/>
          <w:sz w:val="24"/>
          <w:szCs w:val="24"/>
        </w:rPr>
      </w:pPr>
    </w:p>
    <w:p w14:paraId="6A92B7AB" w14:textId="77777777" w:rsidR="00F3163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sz w:val="30"/>
          <w:szCs w:val="30"/>
          <w:u w:val="single"/>
        </w:rPr>
        <w:t>Exploratory Data Analysis</w:t>
      </w:r>
    </w:p>
    <w:p w14:paraId="199D0D17" w14:textId="77777777" w:rsidR="00F3163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examined an extensive dataset covering Division I college basketball seasons from 2013 to 2023 in this exploratory data analysis (EDA) project. Understanding team performance metrics was our main goal, especially as it related to the Power 5 conferences (ACC, SEC, B10, B12, P12). The dataset included important variables like Win Percentage (WIN_PERCENTAGE), Adjusted Defensive Efficiency (ADJDE), Adjusted Offensive Efficiency (ADJOE), and more.</w:t>
      </w:r>
    </w:p>
    <w:p w14:paraId="390BE966" w14:textId="77777777" w:rsidR="00F31630" w:rsidRDefault="00000000">
      <w:pPr>
        <w:jc w:val="both"/>
        <w:rPr>
          <w:rFonts w:ascii="Times New Roman" w:eastAsia="Times New Roman" w:hAnsi="Times New Roman" w:cs="Times New Roman"/>
          <w:sz w:val="24"/>
          <w:szCs w:val="24"/>
        </w:rPr>
      </w:pPr>
      <w:r>
        <w:rPr>
          <w:noProof/>
        </w:rPr>
        <w:drawing>
          <wp:anchor distT="114300" distB="114300" distL="114300" distR="114300" simplePos="0" relativeHeight="251662336" behindDoc="0" locked="0" layoutInCell="1" hidden="0" allowOverlap="1" wp14:anchorId="72CE4254" wp14:editId="6DD37571">
            <wp:simplePos x="0" y="0"/>
            <wp:positionH relativeFrom="column">
              <wp:posOffset>2571750</wp:posOffset>
            </wp:positionH>
            <wp:positionV relativeFrom="paragraph">
              <wp:posOffset>144382</wp:posOffset>
            </wp:positionV>
            <wp:extent cx="3748088" cy="3003275"/>
            <wp:effectExtent l="12700" t="12700" r="12700" b="12700"/>
            <wp:wrapSquare wrapText="bothSides" distT="114300" distB="114300" distL="114300" distR="1143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748088" cy="3003275"/>
                    </a:xfrm>
                    <a:prstGeom prst="rect">
                      <a:avLst/>
                    </a:prstGeom>
                    <a:ln w="12700">
                      <a:solidFill>
                        <a:srgbClr val="000000"/>
                      </a:solidFill>
                      <a:prstDash val="solid"/>
                    </a:ln>
                  </pic:spPr>
                </pic:pic>
              </a:graphicData>
            </a:graphic>
          </wp:anchor>
        </w:drawing>
      </w:r>
    </w:p>
    <w:p w14:paraId="1905B0D2" w14:textId="77777777" w:rsidR="00F3163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Correlation Heatmap:</w:t>
      </w:r>
      <w:r>
        <w:rPr>
          <w:rFonts w:ascii="Times New Roman" w:eastAsia="Times New Roman" w:hAnsi="Times New Roman" w:cs="Times New Roman"/>
          <w:sz w:val="24"/>
          <w:szCs w:val="24"/>
        </w:rPr>
        <w:t xml:space="preserve"> </w:t>
      </w:r>
    </w:p>
    <w:p w14:paraId="0A5D15B3" w14:textId="77777777" w:rsidR="00F3163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correlation heatmap showed which variables had a significant impact on the number of wins and offered a quantitative assessment of the relationships between the variables. This insightful analysis of the interactions between various metrics advances our comprehensive knowledge of the factors that influence college basketball success.</w:t>
      </w:r>
    </w:p>
    <w:p w14:paraId="30162A5A" w14:textId="77777777" w:rsidR="00F31630" w:rsidRDefault="00F31630">
      <w:pPr>
        <w:jc w:val="center"/>
        <w:rPr>
          <w:rFonts w:ascii="Times New Roman" w:eastAsia="Times New Roman" w:hAnsi="Times New Roman" w:cs="Times New Roman"/>
          <w:sz w:val="24"/>
          <w:szCs w:val="24"/>
        </w:rPr>
      </w:pPr>
    </w:p>
    <w:p w14:paraId="5D638C9F" w14:textId="77777777" w:rsidR="00F31630" w:rsidRDefault="00F31630">
      <w:pPr>
        <w:jc w:val="both"/>
        <w:rPr>
          <w:rFonts w:ascii="Times New Roman" w:eastAsia="Times New Roman" w:hAnsi="Times New Roman" w:cs="Times New Roman"/>
          <w:b/>
          <w:sz w:val="24"/>
          <w:szCs w:val="24"/>
        </w:rPr>
      </w:pPr>
    </w:p>
    <w:p w14:paraId="4F168601" w14:textId="77777777" w:rsidR="00F31630" w:rsidRDefault="00F31630">
      <w:pPr>
        <w:jc w:val="both"/>
        <w:rPr>
          <w:rFonts w:ascii="Times New Roman" w:eastAsia="Times New Roman" w:hAnsi="Times New Roman" w:cs="Times New Roman"/>
          <w:b/>
          <w:sz w:val="24"/>
          <w:szCs w:val="24"/>
        </w:rPr>
      </w:pPr>
    </w:p>
    <w:p w14:paraId="2E1FB0D4" w14:textId="77777777" w:rsidR="00F31630" w:rsidRDefault="00F31630">
      <w:pPr>
        <w:jc w:val="both"/>
        <w:rPr>
          <w:rFonts w:ascii="Times New Roman" w:eastAsia="Times New Roman" w:hAnsi="Times New Roman" w:cs="Times New Roman"/>
          <w:b/>
          <w:sz w:val="24"/>
          <w:szCs w:val="24"/>
        </w:rPr>
      </w:pPr>
    </w:p>
    <w:p w14:paraId="10CF6E0A" w14:textId="77777777" w:rsidR="00F31630" w:rsidRDefault="00F31630">
      <w:pPr>
        <w:jc w:val="both"/>
        <w:rPr>
          <w:rFonts w:ascii="Times New Roman" w:eastAsia="Times New Roman" w:hAnsi="Times New Roman" w:cs="Times New Roman"/>
          <w:b/>
          <w:sz w:val="24"/>
          <w:szCs w:val="24"/>
        </w:rPr>
      </w:pPr>
    </w:p>
    <w:p w14:paraId="00BD31E1" w14:textId="77777777" w:rsidR="00F31630" w:rsidRDefault="00F31630">
      <w:pPr>
        <w:jc w:val="both"/>
        <w:rPr>
          <w:rFonts w:ascii="Times New Roman" w:eastAsia="Times New Roman" w:hAnsi="Times New Roman" w:cs="Times New Roman"/>
          <w:b/>
          <w:sz w:val="24"/>
          <w:szCs w:val="24"/>
        </w:rPr>
      </w:pPr>
    </w:p>
    <w:p w14:paraId="752F39B6" w14:textId="77777777" w:rsidR="00F31630" w:rsidRDefault="00000000">
      <w:pPr>
        <w:jc w:val="both"/>
        <w:rPr>
          <w:rFonts w:ascii="Times New Roman" w:eastAsia="Times New Roman" w:hAnsi="Times New Roman" w:cs="Times New Roman"/>
          <w:b/>
          <w:sz w:val="24"/>
          <w:szCs w:val="24"/>
        </w:rPr>
      </w:pPr>
      <w:r>
        <w:rPr>
          <w:noProof/>
        </w:rPr>
        <w:lastRenderedPageBreak/>
        <w:drawing>
          <wp:anchor distT="114300" distB="114300" distL="114300" distR="114300" simplePos="0" relativeHeight="251663360" behindDoc="0" locked="0" layoutInCell="1" hidden="0" allowOverlap="1" wp14:anchorId="644D63AA" wp14:editId="07F55517">
            <wp:simplePos x="0" y="0"/>
            <wp:positionH relativeFrom="column">
              <wp:posOffset>3209925</wp:posOffset>
            </wp:positionH>
            <wp:positionV relativeFrom="paragraph">
              <wp:posOffset>114300</wp:posOffset>
            </wp:positionV>
            <wp:extent cx="2973374" cy="3090863"/>
            <wp:effectExtent l="12700" t="12700" r="12700" b="12700"/>
            <wp:wrapSquare wrapText="bothSides" distT="114300" distB="114300" distL="114300" distR="11430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973374" cy="3090863"/>
                    </a:xfrm>
                    <a:prstGeom prst="rect">
                      <a:avLst/>
                    </a:prstGeom>
                    <a:ln w="12700">
                      <a:solidFill>
                        <a:srgbClr val="000000"/>
                      </a:solidFill>
                      <a:prstDash val="solid"/>
                    </a:ln>
                  </pic:spPr>
                </pic:pic>
              </a:graphicData>
            </a:graphic>
          </wp:anchor>
        </w:drawing>
      </w:r>
    </w:p>
    <w:p w14:paraId="2FC5E511" w14:textId="77777777" w:rsidR="00F31630" w:rsidRDefault="00F31630">
      <w:pPr>
        <w:jc w:val="both"/>
        <w:rPr>
          <w:rFonts w:ascii="Times New Roman" w:eastAsia="Times New Roman" w:hAnsi="Times New Roman" w:cs="Times New Roman"/>
          <w:b/>
          <w:sz w:val="24"/>
          <w:szCs w:val="24"/>
        </w:rPr>
      </w:pPr>
    </w:p>
    <w:p w14:paraId="55F19C69" w14:textId="77777777" w:rsidR="00F3163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Pair Plot Exploration:</w:t>
      </w:r>
    </w:p>
    <w:p w14:paraId="310A3CD1" w14:textId="77777777" w:rsidR="00F3163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capture comprehensive insights, we constructed a pair plot encompassing all variables in the dataset, with a specific focus on their relationships with the 'Wins' variable. This visual representation allowed for the identification of potential patterns, correlations, and outliers, contributing to a holistic understanding of the dataset's dynamics.</w:t>
      </w:r>
    </w:p>
    <w:p w14:paraId="70CBDB24" w14:textId="77777777" w:rsidR="00F31630" w:rsidRDefault="00F31630">
      <w:pPr>
        <w:jc w:val="center"/>
        <w:rPr>
          <w:rFonts w:ascii="Times New Roman" w:eastAsia="Times New Roman" w:hAnsi="Times New Roman" w:cs="Times New Roman"/>
          <w:sz w:val="24"/>
          <w:szCs w:val="24"/>
        </w:rPr>
      </w:pPr>
    </w:p>
    <w:p w14:paraId="57A2DD47" w14:textId="77777777" w:rsidR="00F31630" w:rsidRDefault="00F31630">
      <w:pPr>
        <w:jc w:val="both"/>
        <w:rPr>
          <w:rFonts w:ascii="Times New Roman" w:eastAsia="Times New Roman" w:hAnsi="Times New Roman" w:cs="Times New Roman"/>
          <w:b/>
          <w:sz w:val="24"/>
          <w:szCs w:val="24"/>
        </w:rPr>
      </w:pPr>
    </w:p>
    <w:p w14:paraId="1E0FC789" w14:textId="77777777" w:rsidR="00F31630" w:rsidRDefault="00F31630">
      <w:pPr>
        <w:jc w:val="both"/>
        <w:rPr>
          <w:rFonts w:ascii="Times New Roman" w:eastAsia="Times New Roman" w:hAnsi="Times New Roman" w:cs="Times New Roman"/>
          <w:b/>
          <w:sz w:val="24"/>
          <w:szCs w:val="24"/>
        </w:rPr>
      </w:pPr>
    </w:p>
    <w:p w14:paraId="5E6684F8" w14:textId="77777777" w:rsidR="00F31630" w:rsidRDefault="00F31630">
      <w:pPr>
        <w:jc w:val="both"/>
        <w:rPr>
          <w:rFonts w:ascii="Times New Roman" w:eastAsia="Times New Roman" w:hAnsi="Times New Roman" w:cs="Times New Roman"/>
          <w:b/>
          <w:sz w:val="24"/>
          <w:szCs w:val="24"/>
        </w:rPr>
      </w:pPr>
    </w:p>
    <w:p w14:paraId="1E0812C2" w14:textId="77777777" w:rsidR="00F31630" w:rsidRDefault="00F31630">
      <w:pPr>
        <w:jc w:val="both"/>
        <w:rPr>
          <w:rFonts w:ascii="Times New Roman" w:eastAsia="Times New Roman" w:hAnsi="Times New Roman" w:cs="Times New Roman"/>
          <w:b/>
          <w:sz w:val="24"/>
          <w:szCs w:val="24"/>
        </w:rPr>
      </w:pPr>
    </w:p>
    <w:p w14:paraId="36C46F33" w14:textId="77777777" w:rsidR="00F31630" w:rsidRDefault="00000000">
      <w:pPr>
        <w:jc w:val="both"/>
        <w:rPr>
          <w:rFonts w:ascii="Times New Roman" w:eastAsia="Times New Roman" w:hAnsi="Times New Roman" w:cs="Times New Roman"/>
          <w:b/>
          <w:sz w:val="24"/>
          <w:szCs w:val="24"/>
        </w:rPr>
      </w:pPr>
      <w:r>
        <w:rPr>
          <w:noProof/>
        </w:rPr>
        <w:drawing>
          <wp:anchor distT="114300" distB="114300" distL="114300" distR="114300" simplePos="0" relativeHeight="251664384" behindDoc="0" locked="0" layoutInCell="1" hidden="0" allowOverlap="1" wp14:anchorId="69CE0F25" wp14:editId="2127FCB3">
            <wp:simplePos x="0" y="0"/>
            <wp:positionH relativeFrom="column">
              <wp:posOffset>1</wp:posOffset>
            </wp:positionH>
            <wp:positionV relativeFrom="paragraph">
              <wp:posOffset>306307</wp:posOffset>
            </wp:positionV>
            <wp:extent cx="3324225" cy="2326958"/>
            <wp:effectExtent l="12700" t="12700" r="12700" b="12700"/>
            <wp:wrapSquare wrapText="bothSides" distT="114300" distB="114300" distL="114300" distR="11430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324225" cy="2326958"/>
                    </a:xfrm>
                    <a:prstGeom prst="rect">
                      <a:avLst/>
                    </a:prstGeom>
                    <a:ln w="12700">
                      <a:solidFill>
                        <a:srgbClr val="000000"/>
                      </a:solidFill>
                      <a:prstDash val="solid"/>
                    </a:ln>
                  </pic:spPr>
                </pic:pic>
              </a:graphicData>
            </a:graphic>
          </wp:anchor>
        </w:drawing>
      </w:r>
    </w:p>
    <w:p w14:paraId="28EABF63" w14:textId="77777777" w:rsidR="00F31630" w:rsidRDefault="00F31630">
      <w:pPr>
        <w:jc w:val="both"/>
        <w:rPr>
          <w:rFonts w:ascii="Times New Roman" w:eastAsia="Times New Roman" w:hAnsi="Times New Roman" w:cs="Times New Roman"/>
          <w:b/>
          <w:sz w:val="24"/>
          <w:szCs w:val="24"/>
        </w:rPr>
      </w:pPr>
    </w:p>
    <w:p w14:paraId="50BCF3DC" w14:textId="77777777" w:rsidR="00F31630" w:rsidRDefault="00F31630">
      <w:pPr>
        <w:jc w:val="both"/>
        <w:rPr>
          <w:rFonts w:ascii="Times New Roman" w:eastAsia="Times New Roman" w:hAnsi="Times New Roman" w:cs="Times New Roman"/>
          <w:b/>
          <w:sz w:val="24"/>
          <w:szCs w:val="24"/>
        </w:rPr>
      </w:pPr>
    </w:p>
    <w:p w14:paraId="7BE40FEB" w14:textId="77777777" w:rsidR="00F3163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Distribution of Wins in Power 5 Conferences:</w:t>
      </w:r>
    </w:p>
    <w:p w14:paraId="774391C5" w14:textId="77777777" w:rsidR="00F3163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boxplot can be used to see how the Power 5 conferences' wins are distributed. There is some variability among the Big Ten (B10) and Big Twelve (B12) teams, but there is also a more concentrated distribution in the Atlantic Coast Conference (ACC).</w:t>
      </w:r>
    </w:p>
    <w:p w14:paraId="763C25E1" w14:textId="77777777" w:rsidR="00F31630" w:rsidRDefault="00F31630">
      <w:pPr>
        <w:jc w:val="center"/>
        <w:rPr>
          <w:rFonts w:ascii="Times New Roman" w:eastAsia="Times New Roman" w:hAnsi="Times New Roman" w:cs="Times New Roman"/>
          <w:sz w:val="24"/>
          <w:szCs w:val="24"/>
        </w:rPr>
      </w:pPr>
    </w:p>
    <w:p w14:paraId="7C86178E" w14:textId="77777777" w:rsidR="00F31630" w:rsidRDefault="00F31630">
      <w:pPr>
        <w:jc w:val="both"/>
        <w:rPr>
          <w:rFonts w:ascii="Times New Roman" w:eastAsia="Times New Roman" w:hAnsi="Times New Roman" w:cs="Times New Roman"/>
          <w:b/>
          <w:sz w:val="24"/>
          <w:szCs w:val="24"/>
        </w:rPr>
      </w:pPr>
    </w:p>
    <w:p w14:paraId="3F42954D" w14:textId="77777777" w:rsidR="00F31630" w:rsidRDefault="00F31630">
      <w:pPr>
        <w:jc w:val="both"/>
        <w:rPr>
          <w:rFonts w:ascii="Times New Roman" w:eastAsia="Times New Roman" w:hAnsi="Times New Roman" w:cs="Times New Roman"/>
          <w:b/>
          <w:sz w:val="24"/>
          <w:szCs w:val="24"/>
        </w:rPr>
      </w:pPr>
    </w:p>
    <w:p w14:paraId="78668868" w14:textId="77777777" w:rsidR="00F3163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Relationship between Wins and Adjusted Offensive Efficiency:</w:t>
      </w:r>
    </w:p>
    <w:p w14:paraId="108BEB08" w14:textId="77777777" w:rsidR="00F3163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learn more about the relationship between wins and Adjusted Offensive Efficiency by looking at a scatter plot that colors teams according to conferences. With the help of this visualization, we can see patterns in each conference. To improve legibility, the legend has been thoughtfully positioned at the bottom.</w:t>
      </w:r>
    </w:p>
    <w:p w14:paraId="62C43F16" w14:textId="77777777" w:rsidR="00F31630"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61614FB" wp14:editId="682F8C44">
            <wp:extent cx="3405188" cy="1876328"/>
            <wp:effectExtent l="12700" t="12700" r="12700" b="1270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t="30892" r="11698"/>
                    <a:stretch>
                      <a:fillRect/>
                    </a:stretch>
                  </pic:blipFill>
                  <pic:spPr>
                    <a:xfrm>
                      <a:off x="0" y="0"/>
                      <a:ext cx="3405188" cy="1876328"/>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0324F78E" wp14:editId="3C39B6D0">
            <wp:extent cx="487172" cy="3495675"/>
            <wp:effectExtent l="12700" t="12700" r="12700" b="127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l="90544" b="5491"/>
                    <a:stretch>
                      <a:fillRect/>
                    </a:stretch>
                  </pic:blipFill>
                  <pic:spPr>
                    <a:xfrm rot="16200000">
                      <a:off x="0" y="0"/>
                      <a:ext cx="487172" cy="3495675"/>
                    </a:xfrm>
                    <a:prstGeom prst="rect">
                      <a:avLst/>
                    </a:prstGeom>
                    <a:ln w="12700">
                      <a:solidFill>
                        <a:srgbClr val="000000"/>
                      </a:solidFill>
                      <a:prstDash val="solid"/>
                    </a:ln>
                  </pic:spPr>
                </pic:pic>
              </a:graphicData>
            </a:graphic>
          </wp:inline>
        </w:drawing>
      </w:r>
    </w:p>
    <w:p w14:paraId="1DB51D24" w14:textId="77777777" w:rsidR="00F31630" w:rsidRDefault="00F31630">
      <w:pPr>
        <w:jc w:val="center"/>
        <w:rPr>
          <w:rFonts w:ascii="Times New Roman" w:eastAsia="Times New Roman" w:hAnsi="Times New Roman" w:cs="Times New Roman"/>
          <w:b/>
          <w:sz w:val="24"/>
          <w:szCs w:val="24"/>
        </w:rPr>
      </w:pPr>
    </w:p>
    <w:p w14:paraId="482BA201" w14:textId="77777777" w:rsidR="00F3163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Top Teams Showing Improvement or Decline: </w:t>
      </w:r>
    </w:p>
    <w:p w14:paraId="4CF2D57B" w14:textId="77777777" w:rsidR="00F3163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five teams that improved the most and those whose win percentage significantly decreased both before and after the COVID outbreak have been determined. This analysis has shed light on the evolution of team performance over the given time frame.</w:t>
      </w:r>
    </w:p>
    <w:p w14:paraId="1AF4B6B6" w14:textId="77777777" w:rsidR="00F3163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D271432" wp14:editId="2F3E8959">
            <wp:extent cx="5943600" cy="1206500"/>
            <wp:effectExtent l="12700" t="12700" r="12700" b="127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1206500"/>
                    </a:xfrm>
                    <a:prstGeom prst="rect">
                      <a:avLst/>
                    </a:prstGeom>
                    <a:ln w="12700">
                      <a:solidFill>
                        <a:srgbClr val="000000"/>
                      </a:solidFill>
                      <a:prstDash val="solid"/>
                    </a:ln>
                  </pic:spPr>
                </pic:pic>
              </a:graphicData>
            </a:graphic>
          </wp:inline>
        </w:drawing>
      </w:r>
    </w:p>
    <w:p w14:paraId="39123497" w14:textId="77777777" w:rsidR="00F31630" w:rsidRDefault="00F31630">
      <w:pPr>
        <w:jc w:val="both"/>
        <w:rPr>
          <w:rFonts w:ascii="Times New Roman" w:eastAsia="Times New Roman" w:hAnsi="Times New Roman" w:cs="Times New Roman"/>
          <w:b/>
          <w:sz w:val="24"/>
          <w:szCs w:val="24"/>
        </w:rPr>
      </w:pPr>
    </w:p>
    <w:p w14:paraId="0A7861D8" w14:textId="77777777" w:rsidR="00F3163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Considering the Impact of Pre-Covid Factors:</w:t>
      </w:r>
    </w:p>
    <w:p w14:paraId="474E5EE7" w14:textId="77777777" w:rsidR="00F3163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we analyze the same for Maryland as their performance in the Big 10 matters to us.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we measure their pre and post-Covid success below. It is understandable that given every college’s pandemic non-contact </w:t>
      </w:r>
      <w:proofErr w:type="gramStart"/>
      <w:r>
        <w:rPr>
          <w:rFonts w:ascii="Times New Roman" w:eastAsia="Times New Roman" w:hAnsi="Times New Roman" w:cs="Times New Roman"/>
          <w:sz w:val="24"/>
          <w:szCs w:val="24"/>
        </w:rPr>
        <w:t>policies</w:t>
      </w:r>
      <w:proofErr w:type="gramEnd"/>
      <w:r>
        <w:rPr>
          <w:rFonts w:ascii="Times New Roman" w:eastAsia="Times New Roman" w:hAnsi="Times New Roman" w:cs="Times New Roman"/>
          <w:sz w:val="24"/>
          <w:szCs w:val="24"/>
        </w:rPr>
        <w:t xml:space="preserve"> some teams might not have met for practice.</w:t>
      </w:r>
    </w:p>
    <w:p w14:paraId="249BB00B" w14:textId="77777777" w:rsidR="00F3163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D27E43E" wp14:editId="4E6BC7E2">
            <wp:extent cx="3817232" cy="319088"/>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817232" cy="319088"/>
                    </a:xfrm>
                    <a:prstGeom prst="rect">
                      <a:avLst/>
                    </a:prstGeom>
                    <a:ln/>
                  </pic:spPr>
                </pic:pic>
              </a:graphicData>
            </a:graphic>
          </wp:inline>
        </w:drawing>
      </w:r>
    </w:p>
    <w:p w14:paraId="03BD4D99" w14:textId="77777777" w:rsidR="00F31630" w:rsidRDefault="00F31630">
      <w:pPr>
        <w:jc w:val="both"/>
        <w:rPr>
          <w:rFonts w:ascii="Times New Roman" w:eastAsia="Times New Roman" w:hAnsi="Times New Roman" w:cs="Times New Roman"/>
          <w:sz w:val="24"/>
          <w:szCs w:val="24"/>
        </w:rPr>
      </w:pPr>
    </w:p>
    <w:p w14:paraId="10569185" w14:textId="77777777" w:rsidR="00F3163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thorough EDA offers a sophisticated comprehension of team dynamics by emphasizing variations amongst conferences and the influence of outside variables, like the COVID-19 pandemic, on performance metrics. The college basketball visualizations that are displayed provide insightful information for future research and tactical decision-making.</w:t>
      </w:r>
    </w:p>
    <w:p w14:paraId="641951DD" w14:textId="77777777" w:rsidR="00F3163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average, with all other variables remaining constant, the ADJOE, BARHTAG, EFG_O, 2P_O, and 3P_O make the most positive impact on a league’s/team’s win percentage. With this newfound information in mind, we move towards data modeling to predict win percentages with the above variables as our independent variables. </w:t>
      </w:r>
    </w:p>
    <w:p w14:paraId="3A666E1E" w14:textId="77777777" w:rsidR="00F3163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sz w:val="30"/>
          <w:szCs w:val="30"/>
          <w:u w:val="single"/>
        </w:rPr>
        <w:t>Data Analysis and Modeling</w:t>
      </w:r>
    </w:p>
    <w:p w14:paraId="069B3EC8" w14:textId="77777777" w:rsidR="00F3163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problem that we chose to address is the issue of predicting future college basketball performance, measured by win percentage, for all teams, the Power 5 conferences, and eventually, the University of Maryland. To do this, we planned to use our analysis to create a model that could accurately predict </w:t>
      </w:r>
      <w:proofErr w:type="gramStart"/>
      <w:r>
        <w:rPr>
          <w:rFonts w:ascii="Times New Roman" w:eastAsia="Times New Roman" w:hAnsi="Times New Roman" w:cs="Times New Roman"/>
          <w:sz w:val="24"/>
          <w:szCs w:val="24"/>
        </w:rPr>
        <w:t>this utilizing variables</w:t>
      </w:r>
      <w:proofErr w:type="gramEnd"/>
      <w:r>
        <w:rPr>
          <w:rFonts w:ascii="Times New Roman" w:eastAsia="Times New Roman" w:hAnsi="Times New Roman" w:cs="Times New Roman"/>
          <w:sz w:val="24"/>
          <w:szCs w:val="24"/>
        </w:rPr>
        <w:t xml:space="preserve"> involving offensive and defensive strategy. Before building our model, however, it was necessary to analyze the data to determine the significance and implications of variables.</w:t>
      </w:r>
    </w:p>
    <w:p w14:paraId="0CC435E2" w14:textId="77777777" w:rsidR="00F31630" w:rsidRDefault="00F31630">
      <w:pPr>
        <w:jc w:val="both"/>
        <w:rPr>
          <w:rFonts w:ascii="Times New Roman" w:eastAsia="Times New Roman" w:hAnsi="Times New Roman" w:cs="Times New Roman"/>
          <w:sz w:val="24"/>
          <w:szCs w:val="24"/>
          <w:highlight w:val="yellow"/>
        </w:rPr>
      </w:pPr>
    </w:p>
    <w:p w14:paraId="5E53CD8E" w14:textId="77777777" w:rsidR="00F3163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begin, we choose a basic multiple regression model based on two variables: Adjusted Offensive Efficiency and Adjusted Defensive Efficiency to predict Wins. Then we calculate the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and Adjusted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values to check if the model is well fit to predict our dependent variable.</w:t>
      </w:r>
      <w:r>
        <w:rPr>
          <w:noProof/>
        </w:rPr>
        <w:drawing>
          <wp:anchor distT="114300" distB="114300" distL="114300" distR="114300" simplePos="0" relativeHeight="251665408" behindDoc="0" locked="0" layoutInCell="1" hidden="0" allowOverlap="1" wp14:anchorId="17E00D22" wp14:editId="096497A3">
            <wp:simplePos x="0" y="0"/>
            <wp:positionH relativeFrom="column">
              <wp:posOffset>2924175</wp:posOffset>
            </wp:positionH>
            <wp:positionV relativeFrom="paragraph">
              <wp:posOffset>150893</wp:posOffset>
            </wp:positionV>
            <wp:extent cx="3003157" cy="3099081"/>
            <wp:effectExtent l="12700" t="12700" r="12700" b="12700"/>
            <wp:wrapSquare wrapText="bothSides" distT="114300" distB="11430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003157" cy="3099081"/>
                    </a:xfrm>
                    <a:prstGeom prst="rect">
                      <a:avLst/>
                    </a:prstGeom>
                    <a:ln w="12700">
                      <a:solidFill>
                        <a:srgbClr val="000000"/>
                      </a:solidFill>
                      <a:prstDash val="solid"/>
                    </a:ln>
                  </pic:spPr>
                </pic:pic>
              </a:graphicData>
            </a:graphic>
          </wp:anchor>
        </w:drawing>
      </w:r>
    </w:p>
    <w:p w14:paraId="5001B21A" w14:textId="77777777" w:rsidR="00F31630" w:rsidRDefault="00F31630">
      <w:pPr>
        <w:jc w:val="center"/>
        <w:rPr>
          <w:rFonts w:ascii="Times New Roman" w:eastAsia="Times New Roman" w:hAnsi="Times New Roman" w:cs="Times New Roman"/>
          <w:sz w:val="24"/>
          <w:szCs w:val="24"/>
        </w:rPr>
      </w:pPr>
    </w:p>
    <w:p w14:paraId="6C1A7066" w14:textId="77777777" w:rsidR="00F3163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we see that the win percentage sees an upward trend with ADJOE but a downward trend with ADJDE. Now even though this claim is supported by our correlation matrix, the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 0.6281 and Adjusted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 0.6272 values suggest that the model is not that well fit to predict wins and is rather moderate in its accuracy. Hence, we </w:t>
      </w:r>
      <w:proofErr w:type="gramStart"/>
      <w:r>
        <w:rPr>
          <w:rFonts w:ascii="Times New Roman" w:eastAsia="Times New Roman" w:hAnsi="Times New Roman" w:cs="Times New Roman"/>
          <w:sz w:val="24"/>
          <w:szCs w:val="24"/>
        </w:rPr>
        <w:t>look into</w:t>
      </w:r>
      <w:proofErr w:type="gramEnd"/>
      <w:r>
        <w:rPr>
          <w:rFonts w:ascii="Times New Roman" w:eastAsia="Times New Roman" w:hAnsi="Times New Roman" w:cs="Times New Roman"/>
          <w:sz w:val="24"/>
          <w:szCs w:val="24"/>
        </w:rPr>
        <w:t xml:space="preserve"> building a model that factors in more independent variables to better predict wins.</w:t>
      </w:r>
    </w:p>
    <w:p w14:paraId="4D56FAE8" w14:textId="77777777" w:rsidR="00F31630" w:rsidRDefault="00F31630">
      <w:pPr>
        <w:jc w:val="both"/>
        <w:rPr>
          <w:rFonts w:ascii="Times New Roman" w:eastAsia="Times New Roman" w:hAnsi="Times New Roman" w:cs="Times New Roman"/>
          <w:sz w:val="24"/>
          <w:szCs w:val="24"/>
        </w:rPr>
      </w:pPr>
    </w:p>
    <w:p w14:paraId="1CE467E1" w14:textId="77777777" w:rsidR="00F3163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then used an ordinary least squares (OLS) model, a type of linear regression that is useful for estimating a dependent variable using the relationship between one or more independent variables, as our base model because of the linear relationship between many of the variables in our dataset, specifically tied with WIN_PERCENTAGE. Utilizing </w:t>
      </w:r>
      <w:proofErr w:type="spellStart"/>
      <w:r>
        <w:rPr>
          <w:rFonts w:ascii="Times New Roman" w:eastAsia="Times New Roman" w:hAnsi="Times New Roman" w:cs="Times New Roman"/>
          <w:sz w:val="24"/>
          <w:szCs w:val="24"/>
        </w:rPr>
        <w:t>statsmodels.api</w:t>
      </w:r>
      <w:proofErr w:type="spellEnd"/>
      <w:r>
        <w:rPr>
          <w:rFonts w:ascii="Times New Roman" w:eastAsia="Times New Roman" w:hAnsi="Times New Roman" w:cs="Times New Roman"/>
          <w:sz w:val="24"/>
          <w:szCs w:val="24"/>
        </w:rPr>
        <w:t xml:space="preserve">, we created our first model, regressing WIN_PERCENTAGE on every independent variable in our updated dataset (ADJOE, ADJDE, EFG_O, EFG_D, TOR, TORD, ORB, DRB, FTR, FTRD, ADJ_T). The resulting output displayed an R² value of 0.839 and low p-values for almost every variable, indicating both a relatively good fit for the model and high significance for each of the predictors. The Durbin-Watson test also displayed a value of 1.772, which is </w:t>
      </w:r>
      <w:proofErr w:type="gramStart"/>
      <w:r>
        <w:rPr>
          <w:rFonts w:ascii="Times New Roman" w:eastAsia="Times New Roman" w:hAnsi="Times New Roman" w:cs="Times New Roman"/>
          <w:sz w:val="24"/>
          <w:szCs w:val="24"/>
        </w:rPr>
        <w:t>fairly close</w:t>
      </w:r>
      <w:proofErr w:type="gramEnd"/>
      <w:r>
        <w:rPr>
          <w:rFonts w:ascii="Times New Roman" w:eastAsia="Times New Roman" w:hAnsi="Times New Roman" w:cs="Times New Roman"/>
          <w:sz w:val="24"/>
          <w:szCs w:val="24"/>
        </w:rPr>
        <w:t xml:space="preserve"> to 2.0 and indicates low autocorrelation. The model also stated that there was a large condition number, which could indicate the presence of multicollinearity. We then examined the correlation matrix and created similar models that now omitted some of the highly correlated variables, but after determining that these models were even worse predictors (based on the R² and p-values), we chose to remain with our base model.</w:t>
      </w:r>
    </w:p>
    <w:p w14:paraId="0171F52A" w14:textId="77777777" w:rsidR="00F31630" w:rsidRDefault="00F31630">
      <w:pPr>
        <w:jc w:val="both"/>
        <w:rPr>
          <w:rFonts w:ascii="Times New Roman" w:eastAsia="Times New Roman" w:hAnsi="Times New Roman" w:cs="Times New Roman"/>
          <w:sz w:val="24"/>
          <w:szCs w:val="24"/>
        </w:rPr>
      </w:pPr>
    </w:p>
    <w:p w14:paraId="0BD6F83F" w14:textId="77777777" w:rsidR="00F3163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then chose to estimate a second model using the same equation, solely on the data from teams in Power 5 conferences. Our resulting output was a slightly better fit, based on the R² value of 0.848, the Durbin-Watson test of 1.965, and similar highly significant p-values of 0.000. Because the Power 5 basketball teams may represent a more homogenous or distinct subset of the data compared to all conferences, the resulting increase in model performance may be attributed to the fact that it focuses on a specific group, rather than trying to generalize across all conferences where there may be more outliers, leading to a higher R-squared.</w:t>
      </w:r>
    </w:p>
    <w:p w14:paraId="50FE2DE7" w14:textId="77777777" w:rsidR="00F3163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determine which model was preferred, we calculated the estimated win percentage of the University of Maryland’s basketball program using data from previous years and compared them to their respective actual WIN_PERCENTAGE values.</w:t>
      </w:r>
    </w:p>
    <w:p w14:paraId="4233D1EB" w14:textId="77777777" w:rsidR="00F31630" w:rsidRDefault="00000000">
      <w:pPr>
        <w:ind w:left="-720" w:righ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731A0A39" wp14:editId="49072DE2">
            <wp:extent cx="3098829" cy="1378837"/>
            <wp:effectExtent l="12700" t="12700" r="12700" b="127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098829" cy="1378837"/>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noProof/>
          <w:sz w:val="24"/>
          <w:szCs w:val="24"/>
        </w:rPr>
        <w:drawing>
          <wp:inline distT="19050" distB="19050" distL="19050" distR="19050" wp14:anchorId="337816A3" wp14:editId="21093565">
            <wp:extent cx="3114675" cy="1386410"/>
            <wp:effectExtent l="12700" t="12700" r="12700" b="127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3114675" cy="1386410"/>
                    </a:xfrm>
                    <a:prstGeom prst="rect">
                      <a:avLst/>
                    </a:prstGeom>
                    <a:ln w="12700">
                      <a:solidFill>
                        <a:srgbClr val="000000"/>
                      </a:solidFill>
                      <a:prstDash val="solid"/>
                    </a:ln>
                  </pic:spPr>
                </pic:pic>
              </a:graphicData>
            </a:graphic>
          </wp:inline>
        </w:drawing>
      </w:r>
    </w:p>
    <w:p w14:paraId="5909022E" w14:textId="77777777" w:rsidR="00F31630" w:rsidRDefault="00000000">
      <w:pPr>
        <w:ind w:left="-720" w:right="-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 Conferences Model</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Power 5 Model</w:t>
      </w:r>
    </w:p>
    <w:p w14:paraId="49A5886F" w14:textId="77777777" w:rsidR="00F3163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models were excellent predictors of Maryland’s win percentage, with average percent errors of 3.63 and 3.70 for the models in their respective order. While the Power 5 Model was a better fit for the University of Maryland, which can likely be attributed to the fact that it is a part of the Big Ten, other universities may have differing results, especially if they do not play in the Power 5 themselves.</w:t>
      </w:r>
    </w:p>
    <w:p w14:paraId="6E6FEF7A" w14:textId="77777777" w:rsidR="00F31630" w:rsidRDefault="00F31630">
      <w:pPr>
        <w:jc w:val="both"/>
        <w:rPr>
          <w:rFonts w:ascii="Times New Roman" w:eastAsia="Times New Roman" w:hAnsi="Times New Roman" w:cs="Times New Roman"/>
          <w:sz w:val="24"/>
          <w:szCs w:val="24"/>
        </w:rPr>
      </w:pPr>
    </w:p>
    <w:p w14:paraId="5742FD66" w14:textId="77777777" w:rsidR="00F3163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sz w:val="30"/>
          <w:szCs w:val="30"/>
          <w:u w:val="single"/>
        </w:rPr>
        <w:t>Strategy Recommendation</w:t>
      </w:r>
    </w:p>
    <w:p w14:paraId="4000296A" w14:textId="77777777" w:rsidR="00F31630" w:rsidRDefault="00000000">
      <w:pPr>
        <w:jc w:val="both"/>
        <w:rPr>
          <w:rFonts w:ascii="Times New Roman" w:eastAsia="Times New Roman" w:hAnsi="Times New Roman" w:cs="Times New Roman"/>
          <w:sz w:val="30"/>
          <w:szCs w:val="30"/>
          <w:u w:val="single"/>
        </w:rPr>
      </w:pPr>
      <w:r>
        <w:rPr>
          <w:rFonts w:ascii="Times New Roman" w:eastAsia="Times New Roman" w:hAnsi="Times New Roman" w:cs="Times New Roman"/>
          <w:sz w:val="24"/>
          <w:szCs w:val="24"/>
        </w:rPr>
        <w:t xml:space="preserve">While the models performed well when it came to predicting the win percentage for Maryland and college basketball as a whole, it is important to note that to predict the win percentage for a specific year using this model, we must have data on the offensive, defensive, and overall success rate of a team for that particular </w:t>
      </w:r>
      <w:proofErr w:type="gramStart"/>
      <w:r>
        <w:rPr>
          <w:rFonts w:ascii="Times New Roman" w:eastAsia="Times New Roman" w:hAnsi="Times New Roman" w:cs="Times New Roman"/>
          <w:sz w:val="24"/>
          <w:szCs w:val="24"/>
        </w:rPr>
        <w:t>year;</w:t>
      </w:r>
      <w:proofErr w:type="gramEnd"/>
      <w:r>
        <w:rPr>
          <w:rFonts w:ascii="Times New Roman" w:eastAsia="Times New Roman" w:hAnsi="Times New Roman" w:cs="Times New Roman"/>
          <w:sz w:val="24"/>
          <w:szCs w:val="24"/>
        </w:rPr>
        <w:t xml:space="preserve"> e.g. the year must have passed already. If a team wishes to predict their future win percentage, the best course of action would be to use data from the past year and to compare it with other factors such as changes in players (as most college careers last roughly four years), coaches, funding, game strategies, and other outside factors. Although this new model would include an entirely different set of variables, our analysis is still valuable for teams as it provides insight into how specific game strategies can impact a team’s record. Furthermore, it can allow universities to </w:t>
      </w:r>
      <w:proofErr w:type="gramStart"/>
      <w:r>
        <w:rPr>
          <w:rFonts w:ascii="Times New Roman" w:eastAsia="Times New Roman" w:hAnsi="Times New Roman" w:cs="Times New Roman"/>
          <w:sz w:val="24"/>
          <w:szCs w:val="24"/>
        </w:rPr>
        <w:t>look into</w:t>
      </w:r>
      <w:proofErr w:type="gramEnd"/>
      <w:r>
        <w:rPr>
          <w:rFonts w:ascii="Times New Roman" w:eastAsia="Times New Roman" w:hAnsi="Times New Roman" w:cs="Times New Roman"/>
          <w:sz w:val="24"/>
          <w:szCs w:val="24"/>
        </w:rPr>
        <w:t xml:space="preserve"> other programs and their success rate, understand their competition, and determine what they might need to work on to be able to win against another which is extremely valuable in the long run.</w:t>
      </w:r>
    </w:p>
    <w:p w14:paraId="5737E276" w14:textId="77777777" w:rsidR="008026C9" w:rsidRDefault="008026C9">
      <w:pPr>
        <w:rPr>
          <w:rFonts w:ascii="Times New Roman" w:eastAsia="Times New Roman" w:hAnsi="Times New Roman" w:cs="Times New Roman"/>
          <w:sz w:val="30"/>
          <w:szCs w:val="30"/>
          <w:u w:val="single"/>
        </w:rPr>
      </w:pPr>
    </w:p>
    <w:p w14:paraId="59ADD9F7" w14:textId="77777777" w:rsidR="008026C9" w:rsidRDefault="008026C9">
      <w:pPr>
        <w:rPr>
          <w:rFonts w:ascii="Times New Roman" w:eastAsia="Times New Roman" w:hAnsi="Times New Roman" w:cs="Times New Roman"/>
          <w:sz w:val="30"/>
          <w:szCs w:val="30"/>
          <w:u w:val="single"/>
        </w:rPr>
      </w:pPr>
    </w:p>
    <w:p w14:paraId="6141AEE8" w14:textId="15F7ACD3" w:rsidR="00F31630" w:rsidRDefault="00000000">
      <w:pPr>
        <w:rPr>
          <w:rFonts w:ascii="Times New Roman" w:eastAsia="Times New Roman" w:hAnsi="Times New Roman" w:cs="Times New Roman"/>
          <w:sz w:val="24"/>
          <w:szCs w:val="24"/>
        </w:rPr>
      </w:pPr>
      <w:r>
        <w:rPr>
          <w:rFonts w:ascii="Times New Roman" w:eastAsia="Times New Roman" w:hAnsi="Times New Roman" w:cs="Times New Roman"/>
          <w:sz w:val="30"/>
          <w:szCs w:val="30"/>
          <w:u w:val="single"/>
        </w:rPr>
        <w:lastRenderedPageBreak/>
        <w:t>References</w:t>
      </w:r>
    </w:p>
    <w:p w14:paraId="2FDFED99" w14:textId="77777777" w:rsidR="00F31630" w:rsidRDefault="00F31630">
      <w:pPr>
        <w:widowControl w:val="0"/>
        <w:rPr>
          <w:rFonts w:ascii="Times New Roman" w:eastAsia="Times New Roman" w:hAnsi="Times New Roman" w:cs="Times New Roman"/>
          <w:sz w:val="24"/>
          <w:szCs w:val="24"/>
        </w:rPr>
      </w:pPr>
    </w:p>
    <w:p w14:paraId="3CAACEF7" w14:textId="77777777" w:rsidR="00F31630" w:rsidRDefault="00000000">
      <w:pPr>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Fortune Business Insights. (2023, May). Sports Analytics Market. Fortune Business Insights.</w:t>
      </w:r>
      <w:hyperlink r:id="rId21">
        <w:r>
          <w:rPr>
            <w:rFonts w:ascii="Times New Roman" w:eastAsia="Times New Roman" w:hAnsi="Times New Roman" w:cs="Times New Roman"/>
            <w:sz w:val="24"/>
            <w:szCs w:val="24"/>
          </w:rPr>
          <w:t xml:space="preserve"> </w:t>
        </w:r>
      </w:hyperlink>
      <w:hyperlink r:id="rId22">
        <w:r>
          <w:rPr>
            <w:rFonts w:ascii="Times New Roman" w:eastAsia="Times New Roman" w:hAnsi="Times New Roman" w:cs="Times New Roman"/>
            <w:color w:val="1155CC"/>
            <w:sz w:val="24"/>
            <w:szCs w:val="24"/>
            <w:u w:val="single"/>
          </w:rPr>
          <w:t>https://www.fortunebusinessinsights.com/sports-analytics-market-102217</w:t>
        </w:r>
      </w:hyperlink>
    </w:p>
    <w:p w14:paraId="7FD29F09" w14:textId="77777777" w:rsidR="00F31630" w:rsidRDefault="00000000">
      <w:pPr>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NCAA. (2023, December). Men's College Basketball Standings. NCAA.</w:t>
      </w:r>
      <w:hyperlink r:id="rId23">
        <w:r>
          <w:rPr>
            <w:rFonts w:ascii="Times New Roman" w:eastAsia="Times New Roman" w:hAnsi="Times New Roman" w:cs="Times New Roman"/>
            <w:sz w:val="24"/>
            <w:szCs w:val="24"/>
          </w:rPr>
          <w:t xml:space="preserve"> </w:t>
        </w:r>
      </w:hyperlink>
      <w:hyperlink r:id="rId24">
        <w:r>
          <w:rPr>
            <w:rFonts w:ascii="Times New Roman" w:eastAsia="Times New Roman" w:hAnsi="Times New Roman" w:cs="Times New Roman"/>
            <w:color w:val="1155CC"/>
            <w:sz w:val="24"/>
            <w:szCs w:val="24"/>
            <w:u w:val="single"/>
          </w:rPr>
          <w:t>https://www.ncaa.com/standings/basketball-men/d1</w:t>
        </w:r>
      </w:hyperlink>
    </w:p>
    <w:p w14:paraId="4E2C1D25" w14:textId="77777777" w:rsidR="00F31630" w:rsidRDefault="00000000">
      <w:pPr>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Sundberg, A. (2023, July 7). College basketball dataset. Kaggle. </w:t>
      </w:r>
      <w:hyperlink r:id="rId25">
        <w:r>
          <w:rPr>
            <w:rFonts w:ascii="Times New Roman" w:eastAsia="Times New Roman" w:hAnsi="Times New Roman" w:cs="Times New Roman"/>
            <w:color w:val="1155CC"/>
            <w:sz w:val="24"/>
            <w:szCs w:val="24"/>
            <w:u w:val="single"/>
          </w:rPr>
          <w:t>https://www.kaggle.com/datasets/andrewsundberg/college-basketball-dataset/data?select=cbb.csv</w:t>
        </w:r>
      </w:hyperlink>
    </w:p>
    <w:p w14:paraId="0D66FE78" w14:textId="77777777" w:rsidR="00F31630" w:rsidRDefault="00000000">
      <w:pPr>
        <w:widowControl w:val="0"/>
        <w:spacing w:line="360" w:lineRule="auto"/>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Zhongbo</w:t>
      </w:r>
      <w:proofErr w:type="spellEnd"/>
      <w:r>
        <w:rPr>
          <w:rFonts w:ascii="Times New Roman" w:eastAsia="Times New Roman" w:hAnsi="Times New Roman" w:cs="Times New Roman"/>
          <w:sz w:val="24"/>
          <w:szCs w:val="24"/>
        </w:rPr>
        <w:t xml:space="preserve"> Bai, Xiaomei Bai, "Sports Big Data: Management, Analysis, Applications, and Challenges", </w:t>
      </w:r>
      <w:r>
        <w:rPr>
          <w:rFonts w:ascii="Times New Roman" w:eastAsia="Times New Roman" w:hAnsi="Times New Roman" w:cs="Times New Roman"/>
          <w:i/>
          <w:sz w:val="24"/>
          <w:szCs w:val="24"/>
        </w:rPr>
        <w:t>Complexity</w:t>
      </w:r>
      <w:r>
        <w:rPr>
          <w:rFonts w:ascii="Times New Roman" w:eastAsia="Times New Roman" w:hAnsi="Times New Roman" w:cs="Times New Roman"/>
          <w:sz w:val="24"/>
          <w:szCs w:val="24"/>
        </w:rPr>
        <w:t xml:space="preserve">, vol. 2021, Article ID 6676297, 11 pages, 2021. </w:t>
      </w:r>
      <w:hyperlink r:id="rId26">
        <w:r>
          <w:rPr>
            <w:rFonts w:ascii="Times New Roman" w:eastAsia="Times New Roman" w:hAnsi="Times New Roman" w:cs="Times New Roman"/>
            <w:color w:val="1155CC"/>
            <w:sz w:val="24"/>
            <w:szCs w:val="24"/>
            <w:u w:val="single"/>
          </w:rPr>
          <w:t>https://doi.org/10.1155/2021/6676297</w:t>
        </w:r>
      </w:hyperlink>
    </w:p>
    <w:p w14:paraId="433CF5E5" w14:textId="77777777" w:rsidR="00F31630" w:rsidRDefault="00F31630">
      <w:pPr>
        <w:widowControl w:val="0"/>
        <w:spacing w:line="360" w:lineRule="auto"/>
        <w:ind w:left="720"/>
        <w:rPr>
          <w:rFonts w:ascii="Times New Roman" w:eastAsia="Times New Roman" w:hAnsi="Times New Roman" w:cs="Times New Roman"/>
          <w:sz w:val="24"/>
          <w:szCs w:val="24"/>
        </w:rPr>
      </w:pPr>
    </w:p>
    <w:p w14:paraId="14B223CB" w14:textId="77777777" w:rsidR="00F31630" w:rsidRDefault="00F31630">
      <w:pPr>
        <w:widowControl w:val="0"/>
        <w:ind w:left="720"/>
        <w:rPr>
          <w:rFonts w:ascii="Times New Roman" w:eastAsia="Times New Roman" w:hAnsi="Times New Roman" w:cs="Times New Roman"/>
          <w:sz w:val="24"/>
          <w:szCs w:val="24"/>
        </w:rPr>
      </w:pPr>
    </w:p>
    <w:p w14:paraId="1113CECF" w14:textId="77777777" w:rsidR="00F31630" w:rsidRDefault="00F31630">
      <w:pPr>
        <w:widowControl w:val="0"/>
        <w:ind w:left="720"/>
        <w:rPr>
          <w:sz w:val="21"/>
          <w:szCs w:val="21"/>
          <w:shd w:val="clear" w:color="auto" w:fill="F5F5F5"/>
        </w:rPr>
      </w:pPr>
    </w:p>
    <w:sectPr w:rsidR="00F31630">
      <w:footerReference w:type="default" r:id="rId27"/>
      <w:footerReference w:type="first" r:id="rId2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381E6" w14:textId="77777777" w:rsidR="00471A60" w:rsidRDefault="00471A60">
      <w:pPr>
        <w:spacing w:line="240" w:lineRule="auto"/>
      </w:pPr>
      <w:r>
        <w:separator/>
      </w:r>
    </w:p>
  </w:endnote>
  <w:endnote w:type="continuationSeparator" w:id="0">
    <w:p w14:paraId="444D303E" w14:textId="77777777" w:rsidR="00471A60" w:rsidRDefault="00471A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7A730" w14:textId="77777777" w:rsidR="00F31630" w:rsidRDefault="00000000">
    <w:pPr>
      <w:jc w:val="right"/>
    </w:pPr>
    <w:r>
      <w:fldChar w:fldCharType="begin"/>
    </w:r>
    <w:r>
      <w:instrText>PAGE</w:instrText>
    </w:r>
    <w:r>
      <w:fldChar w:fldCharType="separate"/>
    </w:r>
    <w:r w:rsidR="008026C9">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210D2" w14:textId="77777777" w:rsidR="00F31630" w:rsidRDefault="00F316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F7209" w14:textId="77777777" w:rsidR="00471A60" w:rsidRDefault="00471A60">
      <w:pPr>
        <w:spacing w:line="240" w:lineRule="auto"/>
      </w:pPr>
      <w:r>
        <w:separator/>
      </w:r>
    </w:p>
  </w:footnote>
  <w:footnote w:type="continuationSeparator" w:id="0">
    <w:p w14:paraId="5CE4A842" w14:textId="77777777" w:rsidR="00471A60" w:rsidRDefault="00471A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0F27"/>
    <w:multiLevelType w:val="multilevel"/>
    <w:tmpl w:val="211CA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B7468D6"/>
    <w:multiLevelType w:val="multilevel"/>
    <w:tmpl w:val="52980E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02854857">
    <w:abstractNumId w:val="1"/>
  </w:num>
  <w:num w:numId="2" w16cid:durableId="7147421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1630"/>
    <w:rsid w:val="00471A60"/>
    <w:rsid w:val="008026C9"/>
    <w:rsid w:val="00F316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684F9"/>
  <w15:docId w15:val="{D614CE7E-F6FD-4CED-9D1D-3F23D4C18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1155/2021/6676297" TargetMode="External"/><Relationship Id="rId3" Type="http://schemas.openxmlformats.org/officeDocument/2006/relationships/settings" Target="settings.xml"/><Relationship Id="rId21" Type="http://schemas.openxmlformats.org/officeDocument/2006/relationships/hyperlink" Target="https://www.fortunebusinessinsights.com/sports-analytics-market-102217"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kaggle.com/datasets/andrewsundberg/college-basketball-dataset/data?select=cbb.csv"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ncaa.com/standings/basketball-men/d1"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ncaa.com/standings/basketball-men/d1" TargetMode="External"/><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fortunebusinessinsights.com/sports-analytics-market-102217"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2667</Words>
  <Characters>15202</Characters>
  <Application>Microsoft Office Word</Application>
  <DocSecurity>0</DocSecurity>
  <Lines>126</Lines>
  <Paragraphs>35</Paragraphs>
  <ScaleCrop>false</ScaleCrop>
  <Company/>
  <LinksUpToDate>false</LinksUpToDate>
  <CharactersWithSpaces>17834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Pravah Pravin Malunjkar</cp:lastModifiedBy>
  <cp:revision>2</cp:revision>
  <dcterms:created xsi:type="dcterms:W3CDTF">2024-01-18T04:30:00Z</dcterms:created>
  <dcterms:modified xsi:type="dcterms:W3CDTF">2024-01-18T04:31:00Z</dcterms:modified>
</cp:coreProperties>
</file>