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D19D" w14:textId="7E7529E0" w:rsidR="00AB5A64" w:rsidRPr="0044096A" w:rsidRDefault="00FD3F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096A">
        <w:rPr>
          <w:rFonts w:ascii="Times New Roman" w:hAnsi="Times New Roman" w:cs="Times New Roman"/>
          <w:b/>
          <w:bCs/>
          <w:sz w:val="24"/>
          <w:szCs w:val="24"/>
        </w:rPr>
        <w:t xml:space="preserve">Exp. 5. Band Structure Simulation for Graphene and CNTs using </w:t>
      </w:r>
      <w:r w:rsidR="0044096A" w:rsidRPr="0044096A">
        <w:rPr>
          <w:rFonts w:ascii="Times New Roman" w:hAnsi="Times New Roman" w:cs="Times New Roman"/>
          <w:b/>
          <w:bCs/>
          <w:sz w:val="24"/>
          <w:szCs w:val="24"/>
        </w:rPr>
        <w:t>Nano Hub</w:t>
      </w:r>
    </w:p>
    <w:p w14:paraId="1B639ED0" w14:textId="197722F8" w:rsidR="007A6036" w:rsidRDefault="007A6036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>Aim: To simulate the band structure of nanowire for various materials.</w:t>
      </w:r>
    </w:p>
    <w:p w14:paraId="30F95C6C" w14:textId="0E3676FC" w:rsidR="004C7C10" w:rsidRPr="007A6036" w:rsidRDefault="004C7C10">
      <w:pPr>
        <w:rPr>
          <w:rFonts w:ascii="Times New Roman" w:hAnsi="Times New Roman" w:cs="Times New Roman"/>
          <w:sz w:val="24"/>
          <w:szCs w:val="24"/>
        </w:rPr>
      </w:pPr>
    </w:p>
    <w:p w14:paraId="50BE4D83" w14:textId="357F7940" w:rsidR="00FD3F40" w:rsidRDefault="00D776BD">
      <w:pPr>
        <w:rPr>
          <w:rFonts w:ascii="Times New Roman" w:hAnsi="Times New Roman" w:cs="Times New Roman"/>
          <w:sz w:val="28"/>
          <w:szCs w:val="28"/>
        </w:rPr>
      </w:pPr>
      <w:r w:rsidRPr="00D776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5B6C4E" wp14:editId="2C56E74B">
            <wp:extent cx="3762900" cy="3381847"/>
            <wp:effectExtent l="0" t="0" r="9525" b="9525"/>
            <wp:docPr id="143743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2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6A5A" w14:textId="4E30550D" w:rsidR="00FD3F40" w:rsidRDefault="00FD3F40">
      <w:pPr>
        <w:rPr>
          <w:rFonts w:ascii="Times New Roman" w:hAnsi="Times New Roman" w:cs="Times New Roman"/>
          <w:sz w:val="28"/>
          <w:szCs w:val="28"/>
        </w:rPr>
      </w:pPr>
      <w:r w:rsidRPr="00FD3F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A082D" wp14:editId="1680BA74">
            <wp:extent cx="5731510" cy="2933700"/>
            <wp:effectExtent l="0" t="0" r="2540" b="0"/>
            <wp:docPr id="53178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9B8A" w14:textId="77777777" w:rsidR="00FD3F40" w:rsidRDefault="00FD3F40">
      <w:pPr>
        <w:rPr>
          <w:rFonts w:ascii="Times New Roman" w:hAnsi="Times New Roman" w:cs="Times New Roman"/>
          <w:sz w:val="28"/>
          <w:szCs w:val="28"/>
        </w:rPr>
      </w:pPr>
    </w:p>
    <w:p w14:paraId="10C1DE07" w14:textId="77777777" w:rsidR="00D776BD" w:rsidRDefault="00D776BD">
      <w:pPr>
        <w:rPr>
          <w:rFonts w:ascii="Times New Roman" w:hAnsi="Times New Roman" w:cs="Times New Roman"/>
          <w:sz w:val="24"/>
          <w:szCs w:val="24"/>
        </w:rPr>
      </w:pPr>
    </w:p>
    <w:p w14:paraId="67054454" w14:textId="77777777" w:rsidR="00D776BD" w:rsidRDefault="00D776BD">
      <w:pPr>
        <w:rPr>
          <w:rFonts w:ascii="Times New Roman" w:hAnsi="Times New Roman" w:cs="Times New Roman"/>
          <w:sz w:val="24"/>
          <w:szCs w:val="24"/>
        </w:rPr>
      </w:pPr>
    </w:p>
    <w:p w14:paraId="3EC6EC47" w14:textId="77777777" w:rsidR="00D776BD" w:rsidRDefault="00D776BD">
      <w:pPr>
        <w:rPr>
          <w:rFonts w:ascii="Times New Roman" w:hAnsi="Times New Roman" w:cs="Times New Roman"/>
          <w:sz w:val="24"/>
          <w:szCs w:val="24"/>
        </w:rPr>
      </w:pPr>
    </w:p>
    <w:p w14:paraId="5F314E64" w14:textId="501B34D7" w:rsidR="00FD3F40" w:rsidRDefault="00FD3F40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Case Study 1: Simulate the band-structure of </w:t>
      </w:r>
      <w:proofErr w:type="spellStart"/>
      <w:r w:rsidRPr="007A6036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7A6036">
        <w:rPr>
          <w:rFonts w:ascii="Times New Roman" w:hAnsi="Times New Roman" w:cs="Times New Roman"/>
          <w:sz w:val="24"/>
          <w:szCs w:val="24"/>
        </w:rPr>
        <w:t xml:space="preserve"> circular nanowire</w:t>
      </w:r>
    </w:p>
    <w:p w14:paraId="2BB1F5FD" w14:textId="77777777" w:rsidR="00D776BD" w:rsidRDefault="00D776BD">
      <w:pPr>
        <w:rPr>
          <w:rFonts w:ascii="Times New Roman" w:hAnsi="Times New Roman" w:cs="Times New Roman"/>
          <w:sz w:val="24"/>
          <w:szCs w:val="24"/>
        </w:rPr>
      </w:pPr>
    </w:p>
    <w:p w14:paraId="06BD1DAA" w14:textId="67DACC89" w:rsidR="00D776BD" w:rsidRPr="007A6036" w:rsidRDefault="00D776BD">
      <w:pPr>
        <w:rPr>
          <w:rFonts w:ascii="Times New Roman" w:hAnsi="Times New Roman" w:cs="Times New Roman"/>
          <w:sz w:val="24"/>
          <w:szCs w:val="24"/>
        </w:rPr>
      </w:pPr>
      <w:r w:rsidRPr="00D776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E58F97" wp14:editId="0143151C">
            <wp:extent cx="5105400" cy="2638425"/>
            <wp:effectExtent l="0" t="0" r="0" b="9525"/>
            <wp:docPr id="57696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62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6" cy="263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5D98" w14:textId="33BF6206" w:rsidR="00FD3F40" w:rsidRDefault="003705E7">
      <w:pPr>
        <w:rPr>
          <w:rFonts w:ascii="Times New Roman" w:hAnsi="Times New Roman" w:cs="Times New Roman"/>
          <w:sz w:val="28"/>
          <w:szCs w:val="28"/>
        </w:rPr>
      </w:pPr>
      <w:r w:rsidRPr="00FD3F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FF2D0" wp14:editId="3C52EB73">
            <wp:extent cx="5581650" cy="3181350"/>
            <wp:effectExtent l="0" t="0" r="0" b="0"/>
            <wp:docPr id="36024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970" cy="322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8C20" w14:textId="77777777" w:rsidR="00A253F7" w:rsidRPr="00A253F7" w:rsidRDefault="00A253F7" w:rsidP="00A25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3F7">
        <w:rPr>
          <w:rFonts w:ascii="Times New Roman" w:hAnsi="Times New Roman" w:cs="Times New Roman"/>
          <w:b/>
          <w:bCs/>
          <w:sz w:val="24"/>
          <w:szCs w:val="24"/>
        </w:rPr>
        <w:t>Observations</w:t>
      </w:r>
    </w:p>
    <w:p w14:paraId="46FB8D87" w14:textId="77777777" w:rsidR="00A253F7" w:rsidRPr="00A253F7" w:rsidRDefault="00A253F7" w:rsidP="00A253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The band structure consists of several discrete energy bands due to strong quantum confinement in the circular nanowire. </w:t>
      </w:r>
    </w:p>
    <w:p w14:paraId="3B714F15" w14:textId="77777777" w:rsidR="00A253F7" w:rsidRPr="00A253F7" w:rsidRDefault="00A253F7" w:rsidP="00A253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The conduction and valence bands remain well separated, indicating the presence of a finite band gap. </w:t>
      </w:r>
    </w:p>
    <w:p w14:paraId="04F3A6B5" w14:textId="77777777" w:rsidR="00A253F7" w:rsidRPr="00A253F7" w:rsidRDefault="00A253F7" w:rsidP="00A253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Energy bands exhibit noticeable curvature with increasing wave vector (k), showing the dispersive nature of charge carriers. </w:t>
      </w:r>
    </w:p>
    <w:p w14:paraId="124F2B93" w14:textId="77777777" w:rsidR="00A253F7" w:rsidRPr="00A253F7" w:rsidRDefault="00A253F7" w:rsidP="00A253F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The lowest conduction </w:t>
      </w:r>
      <w:proofErr w:type="spellStart"/>
      <w:r w:rsidRPr="00A253F7">
        <w:rPr>
          <w:rFonts w:ascii="Times New Roman" w:hAnsi="Times New Roman" w:cs="Times New Roman"/>
          <w:sz w:val="24"/>
          <w:szCs w:val="24"/>
        </w:rPr>
        <w:t>subband</w:t>
      </w:r>
      <w:proofErr w:type="spellEnd"/>
      <w:r w:rsidRPr="00A253F7">
        <w:rPr>
          <w:rFonts w:ascii="Times New Roman" w:hAnsi="Times New Roman" w:cs="Times New Roman"/>
          <w:sz w:val="24"/>
          <w:szCs w:val="24"/>
        </w:rPr>
        <w:t xml:space="preserve"> changes smoothly with k, indicating high electron mobility in the </w:t>
      </w:r>
      <w:proofErr w:type="spellStart"/>
      <w:r w:rsidRPr="00A253F7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A253F7">
        <w:rPr>
          <w:rFonts w:ascii="Times New Roman" w:hAnsi="Times New Roman" w:cs="Times New Roman"/>
          <w:sz w:val="24"/>
          <w:szCs w:val="24"/>
        </w:rPr>
        <w:t xml:space="preserve"> nanowire.</w:t>
      </w:r>
    </w:p>
    <w:p w14:paraId="1F0DB608" w14:textId="2DE8BB16" w:rsidR="00FD3F40" w:rsidRDefault="00FD3F40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Case Study 2: Simulate the band-structure of </w:t>
      </w:r>
      <w:proofErr w:type="spellStart"/>
      <w:r w:rsidRPr="007A6036">
        <w:rPr>
          <w:rFonts w:ascii="Times New Roman" w:hAnsi="Times New Roman" w:cs="Times New Roman"/>
          <w:sz w:val="24"/>
          <w:szCs w:val="24"/>
        </w:rPr>
        <w:t>AlGaAs</w:t>
      </w:r>
      <w:proofErr w:type="spellEnd"/>
      <w:r w:rsidRPr="007A6036">
        <w:rPr>
          <w:rFonts w:ascii="Times New Roman" w:hAnsi="Times New Roman" w:cs="Times New Roman"/>
          <w:sz w:val="24"/>
          <w:szCs w:val="24"/>
        </w:rPr>
        <w:t xml:space="preserve"> circular nanowire </w:t>
      </w:r>
    </w:p>
    <w:p w14:paraId="0EE455E7" w14:textId="6C832BED" w:rsidR="0044096A" w:rsidRPr="007A6036" w:rsidRDefault="0044096A">
      <w:pPr>
        <w:rPr>
          <w:rFonts w:ascii="Times New Roman" w:hAnsi="Times New Roman" w:cs="Times New Roman"/>
          <w:sz w:val="24"/>
          <w:szCs w:val="24"/>
        </w:rPr>
      </w:pPr>
      <w:r w:rsidRPr="004409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390720" wp14:editId="79CD947E">
            <wp:extent cx="4781550" cy="3190875"/>
            <wp:effectExtent l="0" t="0" r="0" b="9525"/>
            <wp:docPr id="75921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8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C12C" w14:textId="2E55C0B1" w:rsidR="003705E7" w:rsidRPr="003705E7" w:rsidRDefault="003705E7" w:rsidP="003705E7">
      <w:pPr>
        <w:rPr>
          <w:rFonts w:ascii="Times New Roman" w:hAnsi="Times New Roman" w:cs="Times New Roman"/>
          <w:sz w:val="28"/>
          <w:szCs w:val="28"/>
        </w:rPr>
      </w:pPr>
      <w:r w:rsidRPr="003705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0F4A3" wp14:editId="7396617D">
            <wp:extent cx="5702300" cy="2992755"/>
            <wp:effectExtent l="0" t="0" r="0" b="0"/>
            <wp:docPr id="739935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783" cy="300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36C7" w14:textId="14729845" w:rsidR="003705E7" w:rsidRDefault="003705E7">
      <w:pPr>
        <w:rPr>
          <w:rFonts w:ascii="Times New Roman" w:hAnsi="Times New Roman" w:cs="Times New Roman"/>
          <w:sz w:val="28"/>
          <w:szCs w:val="28"/>
        </w:rPr>
      </w:pPr>
    </w:p>
    <w:p w14:paraId="6C443814" w14:textId="77777777" w:rsidR="00A253F7" w:rsidRPr="00A253F7" w:rsidRDefault="00A253F7" w:rsidP="00A253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3F7">
        <w:rPr>
          <w:rFonts w:ascii="Times New Roman" w:hAnsi="Times New Roman" w:cs="Times New Roman"/>
          <w:b/>
          <w:bCs/>
          <w:sz w:val="24"/>
          <w:szCs w:val="24"/>
        </w:rPr>
        <w:t>Observations</w:t>
      </w:r>
    </w:p>
    <w:p w14:paraId="102844BD" w14:textId="77777777" w:rsidR="00A253F7" w:rsidRPr="00A253F7" w:rsidRDefault="00A253F7" w:rsidP="00A253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Multiple quantized energy bands are observed due to confinement within the nanowire. </w:t>
      </w:r>
    </w:p>
    <w:p w14:paraId="73E1C8AB" w14:textId="77777777" w:rsidR="00A253F7" w:rsidRPr="00A253F7" w:rsidRDefault="00A253F7" w:rsidP="00A253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Compared to </w:t>
      </w:r>
      <w:proofErr w:type="spellStart"/>
      <w:r w:rsidRPr="00A253F7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A253F7">
        <w:rPr>
          <w:rFonts w:ascii="Times New Roman" w:hAnsi="Times New Roman" w:cs="Times New Roman"/>
          <w:sz w:val="24"/>
          <w:szCs w:val="24"/>
        </w:rPr>
        <w:t xml:space="preserve">, the energy bands are located at relatively higher energies, indicating a larger band gap. </w:t>
      </w:r>
    </w:p>
    <w:p w14:paraId="37DC494C" w14:textId="77777777" w:rsidR="00A253F7" w:rsidRPr="00A253F7" w:rsidRDefault="00A253F7" w:rsidP="00A253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The conduction band is flatter over several k-values, suggesting a larger effective mass and comparatively lower carrier mobility. </w:t>
      </w:r>
    </w:p>
    <w:p w14:paraId="18F4C825" w14:textId="77777777" w:rsidR="00A253F7" w:rsidRPr="00A253F7" w:rsidRDefault="00A253F7" w:rsidP="00A253F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53F7">
        <w:rPr>
          <w:rFonts w:ascii="Times New Roman" w:hAnsi="Times New Roman" w:cs="Times New Roman"/>
          <w:sz w:val="24"/>
          <w:szCs w:val="24"/>
        </w:rPr>
        <w:t xml:space="preserve">Band dispersion is less pronounced than in </w:t>
      </w:r>
      <w:proofErr w:type="spellStart"/>
      <w:r w:rsidRPr="00A253F7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A253F7">
        <w:rPr>
          <w:rFonts w:ascii="Times New Roman" w:hAnsi="Times New Roman" w:cs="Times New Roman"/>
          <w:sz w:val="24"/>
          <w:szCs w:val="24"/>
        </w:rPr>
        <w:t>, indicating stronger carrier confinement</w:t>
      </w:r>
    </w:p>
    <w:p w14:paraId="6D0F9CCD" w14:textId="77777777" w:rsidR="00A253F7" w:rsidRPr="00A253F7" w:rsidRDefault="00A253F7" w:rsidP="00A253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253F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AFF5E62" w14:textId="77777777" w:rsidR="00A253F7" w:rsidRPr="007544AB" w:rsidRDefault="00A253F7" w:rsidP="00A253F7">
      <w:p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NanoHub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simulations successfully demonstrate the band structure characteristics of circular nanowires made from different semiconductor materials. Both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AlGaAs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exhibit quantized energy bands as a result of nanoscale confinement.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InAs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shows greater band dispersion, a smaller band gap, and higher electron mobility, making it suitable for high-speed electronic and infrared devices. In contrast,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AlGaAs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exhibits a larger band gap, stronger carrier confinement, and lower band dispersion, making it well suited for optoelectronic, photonic, and high-temperature applications.</w:t>
      </w:r>
    </w:p>
    <w:p w14:paraId="58105A5C" w14:textId="01D49D76" w:rsidR="00A253F7" w:rsidRPr="007544AB" w:rsidRDefault="00A253F7">
      <w:pPr>
        <w:rPr>
          <w:rFonts w:ascii="Times New Roman" w:hAnsi="Times New Roman" w:cs="Times New Roman"/>
          <w:sz w:val="28"/>
          <w:szCs w:val="28"/>
        </w:rPr>
      </w:pPr>
    </w:p>
    <w:p w14:paraId="64C3FBA7" w14:textId="6FB3A44F" w:rsidR="003705E7" w:rsidRPr="0044096A" w:rsidRDefault="003705E7" w:rsidP="003705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096A">
        <w:rPr>
          <w:rFonts w:ascii="Times New Roman" w:hAnsi="Times New Roman" w:cs="Times New Roman"/>
          <w:b/>
          <w:bCs/>
          <w:sz w:val="24"/>
          <w:szCs w:val="24"/>
        </w:rPr>
        <w:t xml:space="preserve">Exp. 6. Demonstration of Quantum </w:t>
      </w:r>
      <w:proofErr w:type="spellStart"/>
      <w:r w:rsidRPr="0044096A">
        <w:rPr>
          <w:rFonts w:ascii="Times New Roman" w:hAnsi="Times New Roman" w:cs="Times New Roman"/>
          <w:b/>
          <w:bCs/>
          <w:sz w:val="24"/>
          <w:szCs w:val="24"/>
        </w:rPr>
        <w:t>Tunneling</w:t>
      </w:r>
      <w:proofErr w:type="spellEnd"/>
    </w:p>
    <w:p w14:paraId="49C47484" w14:textId="49DEF496" w:rsidR="007A6036" w:rsidRPr="007A6036" w:rsidRDefault="007A6036" w:rsidP="003705E7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Aim: To learn the demonstration of Quantum </w:t>
      </w:r>
      <w:proofErr w:type="spellStart"/>
      <w:r w:rsidRPr="007A6036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A6036">
        <w:rPr>
          <w:rFonts w:ascii="Times New Roman" w:hAnsi="Times New Roman" w:cs="Times New Roman"/>
          <w:sz w:val="24"/>
          <w:szCs w:val="24"/>
        </w:rPr>
        <w:t xml:space="preserve"> is analysed and the key learning points </w:t>
      </w:r>
      <w:proofErr w:type="spellStart"/>
      <w:r w:rsidRPr="007A6036">
        <w:rPr>
          <w:rFonts w:ascii="Times New Roman" w:hAnsi="Times New Roman" w:cs="Times New Roman"/>
          <w:sz w:val="24"/>
          <w:szCs w:val="24"/>
        </w:rPr>
        <w:t>areobserved</w:t>
      </w:r>
      <w:proofErr w:type="spellEnd"/>
      <w:r w:rsidRPr="007A6036">
        <w:rPr>
          <w:rFonts w:ascii="Times New Roman" w:hAnsi="Times New Roman" w:cs="Times New Roman"/>
          <w:sz w:val="24"/>
          <w:szCs w:val="24"/>
        </w:rPr>
        <w:t xml:space="preserve"> using nano hub simulation tool</w:t>
      </w:r>
    </w:p>
    <w:p w14:paraId="274B0598" w14:textId="77777777" w:rsidR="003705E7" w:rsidRPr="003705E7" w:rsidRDefault="003705E7" w:rsidP="003705E7">
      <w:pPr>
        <w:rPr>
          <w:rFonts w:ascii="Times New Roman" w:hAnsi="Times New Roman" w:cs="Times New Roman"/>
          <w:sz w:val="28"/>
          <w:szCs w:val="28"/>
        </w:rPr>
      </w:pPr>
    </w:p>
    <w:p w14:paraId="4F200230" w14:textId="2F306722" w:rsidR="003705E7" w:rsidRPr="007A6036" w:rsidRDefault="003705E7" w:rsidP="003705E7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Case study </w:t>
      </w:r>
      <w:proofErr w:type="gramStart"/>
      <w:r w:rsidRPr="007A6036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7A6036">
        <w:rPr>
          <w:rFonts w:ascii="Times New Roman" w:hAnsi="Times New Roman" w:cs="Times New Roman"/>
          <w:sz w:val="24"/>
          <w:szCs w:val="24"/>
        </w:rPr>
        <w:t xml:space="preserve"> Analysis the transmission co-efficient Vs Energy characteristics on refined grid</w:t>
      </w:r>
    </w:p>
    <w:p w14:paraId="36F9C308" w14:textId="6BD7FC35" w:rsidR="00CB2618" w:rsidRDefault="00CB2618" w:rsidP="003705E7">
      <w:pPr>
        <w:rPr>
          <w:rFonts w:ascii="Times New Roman" w:hAnsi="Times New Roman" w:cs="Times New Roman"/>
          <w:sz w:val="28"/>
          <w:szCs w:val="28"/>
        </w:rPr>
      </w:pPr>
      <w:r w:rsidRPr="00182687">
        <w:rPr>
          <w:noProof/>
        </w:rPr>
        <w:drawing>
          <wp:inline distT="0" distB="0" distL="0" distR="0" wp14:anchorId="57F37C55" wp14:editId="64FB75AC">
            <wp:extent cx="5731510" cy="1906905"/>
            <wp:effectExtent l="0" t="0" r="2540" b="0"/>
            <wp:docPr id="1163886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2FCB" w14:textId="77777777" w:rsidR="003705E7" w:rsidRDefault="003705E7" w:rsidP="003705E7">
      <w:pPr>
        <w:rPr>
          <w:rFonts w:ascii="Times New Roman" w:hAnsi="Times New Roman" w:cs="Times New Roman"/>
          <w:sz w:val="28"/>
          <w:szCs w:val="28"/>
        </w:rPr>
      </w:pPr>
    </w:p>
    <w:p w14:paraId="7A2C3E46" w14:textId="77777777" w:rsidR="007544AB" w:rsidRPr="007544AB" w:rsidRDefault="007544AB" w:rsidP="00754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44AB">
        <w:rPr>
          <w:rFonts w:ascii="Times New Roman" w:hAnsi="Times New Roman" w:cs="Times New Roman"/>
          <w:b/>
          <w:bCs/>
          <w:sz w:val="24"/>
          <w:szCs w:val="24"/>
        </w:rPr>
        <w:t>Observations:</w:t>
      </w:r>
    </w:p>
    <w:p w14:paraId="0E5E0369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transmission coefficient is very low at lower energy values, indicating that very few electrons tunnel through the potential barrier. </w:t>
      </w:r>
    </w:p>
    <w:p w14:paraId="47B58FE9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As the particle energy increases, the transmission coefficient gradually increases. </w:t>
      </w:r>
    </w:p>
    <w:p w14:paraId="1B5EC366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Sharp variations (resonance peaks) are observed at certain energy levels, indicating enhanced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probability. </w:t>
      </w:r>
    </w:p>
    <w:p w14:paraId="1D7AED29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refined grid provides smooth and accurate curves, clearly showing the resonance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E8EDDA" w14:textId="77777777" w:rsidR="007544AB" w:rsidRPr="007544AB" w:rsidRDefault="007544AB" w:rsidP="00754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results obtained from the </w:t>
      </w:r>
      <w:r w:rsidRPr="007544AB">
        <w:rPr>
          <w:rFonts w:ascii="Times New Roman" w:hAnsi="Times New Roman" w:cs="Times New Roman"/>
          <w:b/>
          <w:bCs/>
          <w:sz w:val="24"/>
          <w:szCs w:val="24"/>
        </w:rPr>
        <w:t>Transfer Matrix Method</w:t>
      </w:r>
      <w:r w:rsidRPr="007544AB">
        <w:rPr>
          <w:rFonts w:ascii="Times New Roman" w:hAnsi="Times New Roman" w:cs="Times New Roman"/>
          <w:sz w:val="24"/>
          <w:szCs w:val="24"/>
        </w:rPr>
        <w:t xml:space="preserve"> and </w:t>
      </w:r>
      <w:r w:rsidRPr="007544AB">
        <w:rPr>
          <w:rFonts w:ascii="Times New Roman" w:hAnsi="Times New Roman" w:cs="Times New Roman"/>
          <w:b/>
          <w:bCs/>
          <w:sz w:val="24"/>
          <w:szCs w:val="24"/>
        </w:rPr>
        <w:t>Tight-Binding (TB) Method</w:t>
      </w:r>
      <w:r w:rsidRPr="007544AB">
        <w:rPr>
          <w:rFonts w:ascii="Times New Roman" w:hAnsi="Times New Roman" w:cs="Times New Roman"/>
          <w:sz w:val="24"/>
          <w:szCs w:val="24"/>
        </w:rPr>
        <w:t xml:space="preserve"> almost overlap, confirming good agreement between both simulation methods.</w:t>
      </w:r>
    </w:p>
    <w:p w14:paraId="62379CE4" w14:textId="77777777" w:rsidR="007544AB" w:rsidRDefault="007544AB" w:rsidP="003705E7">
      <w:pPr>
        <w:rPr>
          <w:rFonts w:ascii="Times New Roman" w:hAnsi="Times New Roman" w:cs="Times New Roman"/>
          <w:sz w:val="28"/>
          <w:szCs w:val="28"/>
        </w:rPr>
      </w:pPr>
    </w:p>
    <w:p w14:paraId="58A887E1" w14:textId="77777777" w:rsidR="007544AB" w:rsidRDefault="007544AB" w:rsidP="003705E7">
      <w:pPr>
        <w:rPr>
          <w:rFonts w:ascii="Times New Roman" w:hAnsi="Times New Roman" w:cs="Times New Roman"/>
          <w:sz w:val="24"/>
          <w:szCs w:val="24"/>
        </w:rPr>
      </w:pPr>
    </w:p>
    <w:p w14:paraId="29EBF943" w14:textId="77777777" w:rsidR="007544AB" w:rsidRDefault="007544AB" w:rsidP="003705E7">
      <w:pPr>
        <w:rPr>
          <w:rFonts w:ascii="Times New Roman" w:hAnsi="Times New Roman" w:cs="Times New Roman"/>
          <w:sz w:val="24"/>
          <w:szCs w:val="24"/>
        </w:rPr>
      </w:pPr>
    </w:p>
    <w:p w14:paraId="3C5E792A" w14:textId="77777777" w:rsidR="007544AB" w:rsidRDefault="007544AB" w:rsidP="003705E7">
      <w:pPr>
        <w:rPr>
          <w:rFonts w:ascii="Times New Roman" w:hAnsi="Times New Roman" w:cs="Times New Roman"/>
          <w:sz w:val="24"/>
          <w:szCs w:val="24"/>
        </w:rPr>
      </w:pPr>
    </w:p>
    <w:p w14:paraId="6A286D5A" w14:textId="70A140EB" w:rsidR="00CB2618" w:rsidRPr="007544AB" w:rsidRDefault="003705E7" w:rsidP="003705E7">
      <w:pPr>
        <w:rPr>
          <w:rFonts w:ascii="Times New Roman" w:hAnsi="Times New Roman" w:cs="Times New Roman"/>
          <w:sz w:val="24"/>
          <w:szCs w:val="24"/>
        </w:rPr>
      </w:pPr>
      <w:r w:rsidRPr="007A6036">
        <w:rPr>
          <w:rFonts w:ascii="Times New Roman" w:hAnsi="Times New Roman" w:cs="Times New Roman"/>
          <w:sz w:val="24"/>
          <w:szCs w:val="24"/>
        </w:rPr>
        <w:t xml:space="preserve">Case study </w:t>
      </w:r>
      <w:proofErr w:type="gramStart"/>
      <w:r w:rsidRPr="007A6036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7A6036">
        <w:rPr>
          <w:rFonts w:ascii="Times New Roman" w:hAnsi="Times New Roman" w:cs="Times New Roman"/>
          <w:sz w:val="24"/>
          <w:szCs w:val="24"/>
        </w:rPr>
        <w:t xml:space="preserve"> Analysis the Reflection co-efficient Vs Energy on Homogeneous Grid</w:t>
      </w:r>
      <w:r w:rsidR="00CB2618" w:rsidRPr="00182687">
        <w:rPr>
          <w:noProof/>
        </w:rPr>
        <w:drawing>
          <wp:inline distT="0" distB="0" distL="0" distR="0" wp14:anchorId="109FE644" wp14:editId="5A7F6967">
            <wp:extent cx="5731510" cy="1988820"/>
            <wp:effectExtent l="0" t="0" r="2540" b="0"/>
            <wp:docPr id="1047441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AAAA" w14:textId="77777777" w:rsidR="00CB2618" w:rsidRDefault="00CB2618" w:rsidP="003705E7">
      <w:pPr>
        <w:rPr>
          <w:rFonts w:ascii="Times New Roman" w:hAnsi="Times New Roman" w:cs="Times New Roman"/>
          <w:sz w:val="28"/>
          <w:szCs w:val="28"/>
        </w:rPr>
      </w:pPr>
    </w:p>
    <w:p w14:paraId="49A9D9BD" w14:textId="77777777" w:rsidR="007544AB" w:rsidRPr="007544AB" w:rsidRDefault="007544AB" w:rsidP="00754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44AB">
        <w:rPr>
          <w:rFonts w:ascii="Times New Roman" w:hAnsi="Times New Roman" w:cs="Times New Roman"/>
          <w:b/>
          <w:bCs/>
          <w:sz w:val="24"/>
          <w:szCs w:val="24"/>
        </w:rPr>
        <w:t>Observations:</w:t>
      </w:r>
    </w:p>
    <w:p w14:paraId="141306AC" w14:textId="77777777" w:rsidR="007544AB" w:rsidRP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reflection coefficient is close to one at lower energy values, indicating that most electrons are reflected by the barrier. </w:t>
      </w:r>
    </w:p>
    <w:p w14:paraId="38F3B440" w14:textId="77777777" w:rsidR="007544AB" w:rsidRP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As the energy increases, the reflection coefficient gradually decreases due to increased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 probability. </w:t>
      </w:r>
    </w:p>
    <w:p w14:paraId="7856C4D4" w14:textId="77777777" w:rsidR="007544AB" w:rsidRP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At resonance energies, sharp dips are observed in the reflection coefficient, corresponding to peaks in the transmission coefficient. </w:t>
      </w:r>
    </w:p>
    <w:p w14:paraId="33C9E118" w14:textId="77777777" w:rsidR="007544AB" w:rsidRP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 xml:space="preserve">The homogeneous grid produces a smooth reflection curve with consistent numerical </w:t>
      </w:r>
      <w:proofErr w:type="spellStart"/>
      <w:r w:rsidRPr="007544A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54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CD14BB" w14:textId="77777777" w:rsidR="007544AB" w:rsidRDefault="007544AB" w:rsidP="00754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44AB">
        <w:rPr>
          <w:rFonts w:ascii="Times New Roman" w:hAnsi="Times New Roman" w:cs="Times New Roman"/>
          <w:sz w:val="24"/>
          <w:szCs w:val="24"/>
        </w:rPr>
        <w:t>The Transfer Matrix Method and Tight-Binding Method produce nearly identical results, demonstrating the accuracy of both approaches.</w:t>
      </w:r>
    </w:p>
    <w:p w14:paraId="46C5B387" w14:textId="77777777" w:rsidR="007544AB" w:rsidRPr="007544AB" w:rsidRDefault="007544AB" w:rsidP="007544A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544A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Conclusion</w:t>
      </w:r>
    </w:p>
    <w:p w14:paraId="1733ACB7" w14:textId="77777777" w:rsidR="007544AB" w:rsidRDefault="007544AB" w:rsidP="007544AB">
      <w:pPr>
        <w:pStyle w:val="NormalWeb"/>
        <w:numPr>
          <w:ilvl w:val="0"/>
          <w:numId w:val="5"/>
        </w:numPr>
      </w:pPr>
      <w:r w:rsidRPr="007544AB">
        <w:t xml:space="preserve">The </w:t>
      </w:r>
      <w:proofErr w:type="spellStart"/>
      <w:r w:rsidRPr="007544AB">
        <w:t>NanoHub</w:t>
      </w:r>
      <w:proofErr w:type="spellEnd"/>
      <w:r w:rsidRPr="007544AB">
        <w:t xml:space="preserve"> simulation successfully demonstrates the concept of </w:t>
      </w:r>
      <w:r w:rsidRPr="007544AB">
        <w:rPr>
          <w:rStyle w:val="Strong"/>
          <w:b w:val="0"/>
          <w:bCs w:val="0"/>
        </w:rPr>
        <w:t xml:space="preserve">quantum </w:t>
      </w:r>
      <w:proofErr w:type="spellStart"/>
      <w:r w:rsidRPr="007544AB">
        <w:rPr>
          <w:rStyle w:val="Strong"/>
          <w:b w:val="0"/>
          <w:bCs w:val="0"/>
        </w:rPr>
        <w:t>tunneling</w:t>
      </w:r>
      <w:proofErr w:type="spellEnd"/>
      <w:r w:rsidRPr="007544AB">
        <w:t xml:space="preserve">. </w:t>
      </w:r>
    </w:p>
    <w:p w14:paraId="1FF54BC8" w14:textId="77777777" w:rsidR="007544AB" w:rsidRDefault="007544AB" w:rsidP="007544AB">
      <w:pPr>
        <w:pStyle w:val="NormalWeb"/>
        <w:numPr>
          <w:ilvl w:val="0"/>
          <w:numId w:val="5"/>
        </w:numPr>
      </w:pPr>
      <w:r w:rsidRPr="007544AB">
        <w:t xml:space="preserve">The transmission coefficient increases with increasing particle energy, while the reflection coefficient decreases accordingly. </w:t>
      </w:r>
    </w:p>
    <w:p w14:paraId="74AC8209" w14:textId="77777777" w:rsidR="007544AB" w:rsidRDefault="007544AB" w:rsidP="007544AB">
      <w:pPr>
        <w:pStyle w:val="NormalWeb"/>
        <w:numPr>
          <w:ilvl w:val="0"/>
          <w:numId w:val="5"/>
        </w:numPr>
      </w:pPr>
      <w:r w:rsidRPr="007544AB">
        <w:t>Resonance effects are clearly visible, where electrons tunnel through the barrier with high probability at specific energy levels.</w:t>
      </w:r>
    </w:p>
    <w:p w14:paraId="070B4E4B" w14:textId="0AEB294A" w:rsidR="007544AB" w:rsidRDefault="007544AB" w:rsidP="007544AB">
      <w:pPr>
        <w:pStyle w:val="NormalWeb"/>
        <w:numPr>
          <w:ilvl w:val="0"/>
          <w:numId w:val="5"/>
        </w:numPr>
      </w:pPr>
      <w:r w:rsidRPr="007544AB">
        <w:t xml:space="preserve">The close agreement between the </w:t>
      </w:r>
      <w:r w:rsidRPr="007544AB">
        <w:rPr>
          <w:rStyle w:val="Strong"/>
          <w:b w:val="0"/>
          <w:bCs w:val="0"/>
        </w:rPr>
        <w:t>Transfer Matrix Method</w:t>
      </w:r>
      <w:r w:rsidRPr="007544AB">
        <w:t xml:space="preserve"> and </w:t>
      </w:r>
      <w:r w:rsidRPr="007544AB">
        <w:rPr>
          <w:rStyle w:val="Strong"/>
          <w:b w:val="0"/>
          <w:bCs w:val="0"/>
        </w:rPr>
        <w:t>Tight-Binding Method</w:t>
      </w:r>
      <w:r w:rsidRPr="007544AB">
        <w:t xml:space="preserve"> validates the correctness and reliability of the simulation. </w:t>
      </w:r>
    </w:p>
    <w:p w14:paraId="40289038" w14:textId="5DA322FC" w:rsidR="00CB2618" w:rsidRDefault="007544AB" w:rsidP="003705E7">
      <w:pPr>
        <w:pStyle w:val="NormalWeb"/>
        <w:numPr>
          <w:ilvl w:val="0"/>
          <w:numId w:val="5"/>
        </w:numPr>
      </w:pPr>
      <w:r w:rsidRPr="007544AB">
        <w:t>Overall, the experiment confirms the fundamental principle of quantum mechanics that particles can tunnel through a potential barrier even when their energy is lower than the barrier height, illustrating the wave nature of electrons.</w:t>
      </w:r>
    </w:p>
    <w:p w14:paraId="735943F7" w14:textId="77777777" w:rsidR="00CB2618" w:rsidRPr="0044096A" w:rsidRDefault="00CB2618" w:rsidP="00CB2618">
      <w:pPr>
        <w:tabs>
          <w:tab w:val="left" w:pos="62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4096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Exp. 7. MOSFET Scaling Analysis and Subthreshold Swing Calculation using </w:t>
      </w:r>
      <w:proofErr w:type="spellStart"/>
      <w:r w:rsidRPr="0044096A">
        <w:rPr>
          <w:rFonts w:ascii="Times New Roman" w:hAnsi="Times New Roman" w:cs="Times New Roman"/>
          <w:b/>
          <w:bCs/>
          <w:sz w:val="24"/>
          <w:szCs w:val="24"/>
        </w:rPr>
        <w:t>NanoHub</w:t>
      </w:r>
      <w:proofErr w:type="spellEnd"/>
    </w:p>
    <w:p w14:paraId="121E9DC8" w14:textId="170F1EB4" w:rsidR="007D123E" w:rsidRPr="00CB2618" w:rsidRDefault="007D123E" w:rsidP="00CB2618">
      <w:pPr>
        <w:tabs>
          <w:tab w:val="left" w:pos="6280"/>
        </w:tabs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>Aim: To study the current-voltage characteristics and transconductance efficiency of a single-</w:t>
      </w:r>
      <w:proofErr w:type="spellStart"/>
      <w:r w:rsidRPr="007D123E">
        <w:rPr>
          <w:rFonts w:ascii="Times New Roman" w:hAnsi="Times New Roman" w:cs="Times New Roman"/>
          <w:sz w:val="24"/>
          <w:szCs w:val="24"/>
        </w:rPr>
        <w:t>gateMOSFET</w:t>
      </w:r>
      <w:proofErr w:type="spellEnd"/>
      <w:r w:rsidRPr="007D123E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Pr="007D123E">
        <w:rPr>
          <w:rFonts w:ascii="Times New Roman" w:hAnsi="Times New Roman" w:cs="Times New Roman"/>
          <w:sz w:val="24"/>
          <w:szCs w:val="24"/>
        </w:rPr>
        <w:t>NanoHUB</w:t>
      </w:r>
      <w:proofErr w:type="spellEnd"/>
      <w:r w:rsidRPr="007D12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23E">
        <w:rPr>
          <w:rFonts w:ascii="Times New Roman" w:hAnsi="Times New Roman" w:cs="Times New Roman"/>
          <w:sz w:val="24"/>
          <w:szCs w:val="24"/>
        </w:rPr>
        <w:t>FetToy</w:t>
      </w:r>
      <w:proofErr w:type="spellEnd"/>
      <w:r w:rsidRPr="007D123E">
        <w:rPr>
          <w:rFonts w:ascii="Times New Roman" w:hAnsi="Times New Roman" w:cs="Times New Roman"/>
          <w:sz w:val="24"/>
          <w:szCs w:val="24"/>
        </w:rPr>
        <w:t xml:space="preserve"> Simulator.</w:t>
      </w:r>
    </w:p>
    <w:p w14:paraId="42913DA3" w14:textId="77777777" w:rsidR="00CB2618" w:rsidRPr="00CB2618" w:rsidRDefault="00CB2618" w:rsidP="00CB2618">
      <w:pPr>
        <w:tabs>
          <w:tab w:val="left" w:pos="6280"/>
        </w:tabs>
        <w:rPr>
          <w:rFonts w:ascii="Times New Roman" w:hAnsi="Times New Roman" w:cs="Times New Roman"/>
          <w:sz w:val="24"/>
          <w:szCs w:val="24"/>
        </w:rPr>
      </w:pPr>
      <w:r w:rsidRPr="00CB2618">
        <w:rPr>
          <w:rFonts w:ascii="Times New Roman" w:hAnsi="Times New Roman" w:cs="Times New Roman"/>
          <w:sz w:val="24"/>
          <w:szCs w:val="24"/>
        </w:rPr>
        <w:t xml:space="preserve">Case 1: Increase in </w:t>
      </w:r>
      <w:proofErr w:type="gramStart"/>
      <w:r w:rsidRPr="00CB2618">
        <w:rPr>
          <w:rFonts w:ascii="Times New Roman" w:hAnsi="Times New Roman" w:cs="Times New Roman"/>
          <w:sz w:val="24"/>
          <w:szCs w:val="24"/>
        </w:rPr>
        <w:t>VG :</w:t>
      </w:r>
      <w:proofErr w:type="gramEnd"/>
    </w:p>
    <w:p w14:paraId="58F66710" w14:textId="77777777" w:rsidR="00CB2618" w:rsidRDefault="00CB2618" w:rsidP="00CB2618">
      <w:pPr>
        <w:tabs>
          <w:tab w:val="left" w:pos="6280"/>
        </w:tabs>
        <w:rPr>
          <w:b/>
          <w:bCs/>
        </w:rPr>
      </w:pPr>
      <w:r w:rsidRPr="00CB2618">
        <w:rPr>
          <w:rFonts w:ascii="Times New Roman" w:hAnsi="Times New Roman" w:cs="Times New Roman"/>
          <w:sz w:val="24"/>
          <w:szCs w:val="24"/>
        </w:rPr>
        <w:t>● Observation: As VG increases, the drain current (</w:t>
      </w:r>
      <w:proofErr w:type="gramStart"/>
      <w:r w:rsidRPr="00CB2618">
        <w:rPr>
          <w:rFonts w:ascii="Times New Roman" w:hAnsi="Times New Roman" w:cs="Times New Roman"/>
          <w:sz w:val="24"/>
          <w:szCs w:val="24"/>
        </w:rPr>
        <w:t>ID )</w:t>
      </w:r>
      <w:proofErr w:type="gramEnd"/>
      <w:r w:rsidRPr="00CB2618">
        <w:rPr>
          <w:rFonts w:ascii="Times New Roman" w:hAnsi="Times New Roman" w:cs="Times New Roman"/>
          <w:sz w:val="24"/>
          <w:szCs w:val="24"/>
        </w:rPr>
        <w:t xml:space="preserve"> also increases </w:t>
      </w:r>
      <w:proofErr w:type="spellStart"/>
      <w:r w:rsidRPr="00CB2618">
        <w:rPr>
          <w:rFonts w:ascii="Times New Roman" w:hAnsi="Times New Roman" w:cs="Times New Roman"/>
          <w:sz w:val="24"/>
          <w:szCs w:val="24"/>
        </w:rPr>
        <w:t>exponentiallydue</w:t>
      </w:r>
      <w:proofErr w:type="spellEnd"/>
      <w:r w:rsidRPr="00CB2618">
        <w:rPr>
          <w:rFonts w:ascii="Times New Roman" w:hAnsi="Times New Roman" w:cs="Times New Roman"/>
          <w:sz w:val="24"/>
          <w:szCs w:val="24"/>
        </w:rPr>
        <w:t xml:space="preserve"> to the MOSFET entering the saturation region earlier</w:t>
      </w:r>
      <w:r w:rsidRPr="00CB2618">
        <w:rPr>
          <w:b/>
          <w:bCs/>
        </w:rPr>
        <w:t xml:space="preserve">. </w:t>
      </w:r>
    </w:p>
    <w:p w14:paraId="303555E0" w14:textId="34085913" w:rsidR="00623A99" w:rsidRDefault="0044096A" w:rsidP="00CB2618">
      <w:pPr>
        <w:tabs>
          <w:tab w:val="left" w:pos="6280"/>
        </w:tabs>
        <w:rPr>
          <w:b/>
          <w:bCs/>
        </w:rPr>
      </w:pPr>
      <w:r w:rsidRPr="0044096A">
        <w:rPr>
          <w:b/>
          <w:bCs/>
        </w:rPr>
        <w:drawing>
          <wp:inline distT="0" distB="0" distL="0" distR="0" wp14:anchorId="3F4DF383" wp14:editId="56E4FFF5">
            <wp:extent cx="4933950" cy="2524125"/>
            <wp:effectExtent l="0" t="0" r="0" b="9525"/>
            <wp:docPr id="114419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8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45" cy="25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047B" w14:textId="37EDEBA3" w:rsidR="00CB0174" w:rsidRPr="00CB0174" w:rsidRDefault="00CB0174" w:rsidP="00CB0174">
      <w:pPr>
        <w:tabs>
          <w:tab w:val="left" w:pos="6280"/>
        </w:tabs>
        <w:rPr>
          <w:b/>
          <w:bCs/>
        </w:rPr>
      </w:pPr>
      <w:r w:rsidRPr="00CB0174">
        <w:rPr>
          <w:b/>
          <w:bCs/>
          <w:noProof/>
        </w:rPr>
        <w:drawing>
          <wp:inline distT="0" distB="0" distL="0" distR="0" wp14:anchorId="046F9FE0" wp14:editId="2960ECB9">
            <wp:extent cx="5686425" cy="2486025"/>
            <wp:effectExtent l="0" t="0" r="9525" b="9525"/>
            <wp:docPr id="623747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CA36" w14:textId="77777777" w:rsidR="0044096A" w:rsidRDefault="0044096A" w:rsidP="007D123E">
      <w:pPr>
        <w:tabs>
          <w:tab w:val="left" w:pos="6870"/>
        </w:tabs>
        <w:rPr>
          <w:b/>
          <w:bCs/>
        </w:rPr>
      </w:pPr>
    </w:p>
    <w:p w14:paraId="2D5ECB32" w14:textId="59403EA3" w:rsidR="007D123E" w:rsidRPr="007D123E" w:rsidRDefault="007D123E" w:rsidP="007D123E">
      <w:pPr>
        <w:tabs>
          <w:tab w:val="left" w:pos="6870"/>
        </w:tabs>
        <w:rPr>
          <w:b/>
          <w:bCs/>
        </w:rPr>
      </w:pPr>
      <w:r w:rsidRPr="007D123E">
        <w:rPr>
          <w:b/>
          <w:bCs/>
        </w:rPr>
        <w:t>Observations:</w:t>
      </w:r>
    </w:p>
    <w:p w14:paraId="28A616EE" w14:textId="77777777" w:rsidR="007D123E" w:rsidRPr="007D123E" w:rsidRDefault="007D123E" w:rsidP="007D123E">
      <w:pPr>
        <w:numPr>
          <w:ilvl w:val="0"/>
          <w:numId w:val="6"/>
        </w:numPr>
        <w:tabs>
          <w:tab w:val="left" w:pos="6870"/>
        </w:tabs>
      </w:pPr>
      <w:r w:rsidRPr="007D123E">
        <w:t>As the gate voltage (</w:t>
      </w:r>
      <w:r w:rsidRPr="007D123E">
        <w:rPr>
          <w:b/>
          <w:bCs/>
        </w:rPr>
        <w:t>VG</w:t>
      </w:r>
      <w:r w:rsidRPr="007D123E">
        <w:t>) increases, the drain current (</w:t>
      </w:r>
      <w:r w:rsidRPr="007D123E">
        <w:rPr>
          <w:b/>
          <w:bCs/>
        </w:rPr>
        <w:t>ID</w:t>
      </w:r>
      <w:r w:rsidRPr="007D123E">
        <w:t xml:space="preserve">) increases exponentially in the subthreshold region. </w:t>
      </w:r>
    </w:p>
    <w:p w14:paraId="06CA732B" w14:textId="77777777" w:rsidR="007D123E" w:rsidRPr="007D123E" w:rsidRDefault="007D123E" w:rsidP="007D123E">
      <w:pPr>
        <w:numPr>
          <w:ilvl w:val="0"/>
          <w:numId w:val="6"/>
        </w:numPr>
        <w:tabs>
          <w:tab w:val="left" w:pos="6870"/>
        </w:tabs>
      </w:pPr>
      <w:r w:rsidRPr="007D123E">
        <w:t>Once the threshold voltage (</w:t>
      </w:r>
      <w:r w:rsidRPr="007D123E">
        <w:rPr>
          <w:b/>
          <w:bCs/>
        </w:rPr>
        <w:t>VTH</w:t>
      </w:r>
      <w:r w:rsidRPr="007D123E">
        <w:t xml:space="preserve">) is reached, the MOSFET turns ON and the drain current increases rapidly. </w:t>
      </w:r>
    </w:p>
    <w:p w14:paraId="1FB0EFC5" w14:textId="77777777" w:rsidR="007D123E" w:rsidRPr="007D123E" w:rsidRDefault="007D123E" w:rsidP="007D123E">
      <w:pPr>
        <w:numPr>
          <w:ilvl w:val="0"/>
          <w:numId w:val="6"/>
        </w:numPr>
        <w:tabs>
          <w:tab w:val="left" w:pos="6870"/>
        </w:tabs>
      </w:pPr>
      <w:r w:rsidRPr="007D123E">
        <w:t xml:space="preserve">A higher gate voltage enhances the inversion layer, allowing more charge carriers to flow through the channel. </w:t>
      </w:r>
    </w:p>
    <w:p w14:paraId="61EB266A" w14:textId="77777777" w:rsidR="007D123E" w:rsidRPr="007D123E" w:rsidRDefault="007D123E" w:rsidP="007D123E">
      <w:pPr>
        <w:numPr>
          <w:ilvl w:val="0"/>
          <w:numId w:val="6"/>
        </w:numPr>
        <w:tabs>
          <w:tab w:val="left" w:pos="6870"/>
        </w:tabs>
      </w:pPr>
      <w:r w:rsidRPr="007D123E">
        <w:lastRenderedPageBreak/>
        <w:t xml:space="preserve">The device enters the saturation region at lower drain voltages as </w:t>
      </w:r>
      <w:r w:rsidRPr="007D123E">
        <w:rPr>
          <w:b/>
          <w:bCs/>
        </w:rPr>
        <w:t>VG</w:t>
      </w:r>
      <w:r w:rsidRPr="007D123E">
        <w:t xml:space="preserve"> increases.</w:t>
      </w:r>
    </w:p>
    <w:p w14:paraId="0D284CFD" w14:textId="152DA626" w:rsidR="00CB2618" w:rsidRPr="00182687" w:rsidRDefault="00CB2618" w:rsidP="007D123E">
      <w:pPr>
        <w:tabs>
          <w:tab w:val="left" w:pos="6870"/>
        </w:tabs>
      </w:pPr>
    </w:p>
    <w:p w14:paraId="42A8B61B" w14:textId="31586C77" w:rsidR="00CB0174" w:rsidRPr="00CB0174" w:rsidRDefault="00CB0174" w:rsidP="00CB0174">
      <w:r w:rsidRPr="00CB0174">
        <w:rPr>
          <w:noProof/>
        </w:rPr>
        <w:drawing>
          <wp:inline distT="0" distB="0" distL="0" distR="0" wp14:anchorId="4D0E8F9F" wp14:editId="68380E5E">
            <wp:extent cx="5731510" cy="2457450"/>
            <wp:effectExtent l="0" t="0" r="2540" b="0"/>
            <wp:docPr id="1537892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CD2F" w14:textId="77777777" w:rsidR="00CB2618" w:rsidRDefault="00CB2618" w:rsidP="003705E7"/>
    <w:p w14:paraId="2DBD4AE5" w14:textId="77777777" w:rsidR="00CB0174" w:rsidRPr="00CB0174" w:rsidRDefault="00CB0174" w:rsidP="00CB0174">
      <w:pPr>
        <w:rPr>
          <w:rFonts w:ascii="Times New Roman" w:hAnsi="Times New Roman" w:cs="Times New Roman"/>
          <w:sz w:val="24"/>
          <w:szCs w:val="24"/>
        </w:rPr>
      </w:pPr>
      <w:r w:rsidRPr="00CB0174">
        <w:rPr>
          <w:rFonts w:ascii="Times New Roman" w:hAnsi="Times New Roman" w:cs="Times New Roman"/>
          <w:sz w:val="24"/>
          <w:szCs w:val="24"/>
        </w:rPr>
        <w:t xml:space="preserve">Case 2: Variation in </w:t>
      </w:r>
      <w:proofErr w:type="gramStart"/>
      <w:r w:rsidRPr="00CB0174">
        <w:rPr>
          <w:rFonts w:ascii="Times New Roman" w:hAnsi="Times New Roman" w:cs="Times New Roman"/>
          <w:sz w:val="24"/>
          <w:szCs w:val="24"/>
        </w:rPr>
        <w:t>VD :</w:t>
      </w:r>
      <w:proofErr w:type="gramEnd"/>
    </w:p>
    <w:p w14:paraId="51EF1007" w14:textId="77777777" w:rsidR="00CB0174" w:rsidRDefault="00CB0174" w:rsidP="00CB0174">
      <w:pPr>
        <w:rPr>
          <w:rFonts w:ascii="Times New Roman" w:hAnsi="Times New Roman" w:cs="Times New Roman"/>
          <w:sz w:val="24"/>
          <w:szCs w:val="24"/>
        </w:rPr>
      </w:pPr>
      <w:r w:rsidRPr="00CB0174">
        <w:rPr>
          <w:rFonts w:ascii="Times New Roman" w:hAnsi="Times New Roman" w:cs="Times New Roman"/>
          <w:sz w:val="24"/>
          <w:szCs w:val="24"/>
        </w:rPr>
        <w:t>● Observation: Drain current (</w:t>
      </w:r>
      <w:proofErr w:type="gramStart"/>
      <w:r w:rsidRPr="00CB0174">
        <w:rPr>
          <w:rFonts w:ascii="Times New Roman" w:hAnsi="Times New Roman" w:cs="Times New Roman"/>
          <w:sz w:val="24"/>
          <w:szCs w:val="24"/>
        </w:rPr>
        <w:t>ID )</w:t>
      </w:r>
      <w:proofErr w:type="gramEnd"/>
      <w:r w:rsidRPr="00CB0174">
        <w:rPr>
          <w:rFonts w:ascii="Times New Roman" w:hAnsi="Times New Roman" w:cs="Times New Roman"/>
          <w:sz w:val="24"/>
          <w:szCs w:val="24"/>
        </w:rPr>
        <w:t xml:space="preserve"> saturates for higher VD at a fixed VG</w:t>
      </w:r>
    </w:p>
    <w:p w14:paraId="6B056499" w14:textId="77777777" w:rsidR="00CB0174" w:rsidRDefault="00CB0174" w:rsidP="00CB0174">
      <w:pPr>
        <w:rPr>
          <w:rFonts w:ascii="Times New Roman" w:hAnsi="Times New Roman" w:cs="Times New Roman"/>
          <w:sz w:val="24"/>
          <w:szCs w:val="24"/>
        </w:rPr>
      </w:pPr>
    </w:p>
    <w:p w14:paraId="677BD01C" w14:textId="09DDC74A" w:rsidR="00CB0174" w:rsidRPr="00CB0174" w:rsidRDefault="00CB0174" w:rsidP="00CB017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7C926A" wp14:editId="0BDAEEAF">
            <wp:extent cx="5731510" cy="2676525"/>
            <wp:effectExtent l="0" t="0" r="2540" b="9525"/>
            <wp:docPr id="2028386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2CEF" w14:textId="77777777" w:rsidR="007D123E" w:rsidRDefault="007D123E" w:rsidP="007D123E">
      <w:pPr>
        <w:rPr>
          <w:rFonts w:ascii="Times New Roman" w:hAnsi="Times New Roman" w:cs="Times New Roman"/>
          <w:sz w:val="24"/>
          <w:szCs w:val="24"/>
        </w:rPr>
      </w:pPr>
    </w:p>
    <w:p w14:paraId="7E254539" w14:textId="5B66AB15" w:rsidR="007D123E" w:rsidRPr="007D123E" w:rsidRDefault="007D123E" w:rsidP="007D123E">
      <w:p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>Observations:</w:t>
      </w:r>
    </w:p>
    <w:p w14:paraId="76DD8BA6" w14:textId="77777777" w:rsidR="007D123E" w:rsidRPr="007D123E" w:rsidRDefault="007D123E" w:rsidP="007D1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 xml:space="preserve">At a fixed gate voltage (VG), the drain current (ID) increases with increasing drain voltage (VD) in the linear region. </w:t>
      </w:r>
    </w:p>
    <w:p w14:paraId="2C434788" w14:textId="77777777" w:rsidR="007D123E" w:rsidRPr="007D123E" w:rsidRDefault="007D123E" w:rsidP="007D1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 xml:space="preserve">Beyond the saturation voltage, the drain current becomes nearly constant, indicating saturation operation. </w:t>
      </w:r>
    </w:p>
    <w:p w14:paraId="2C1BF95C" w14:textId="77777777" w:rsidR="007D123E" w:rsidRPr="007D123E" w:rsidRDefault="007D123E" w:rsidP="007D1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lastRenderedPageBreak/>
        <w:t xml:space="preserve">Further increase in VD causes only a slight increase in ID due to channel length modulation. </w:t>
      </w:r>
    </w:p>
    <w:p w14:paraId="483A06CD" w14:textId="77777777" w:rsidR="007D123E" w:rsidRPr="007D123E" w:rsidRDefault="007D123E" w:rsidP="007D123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123E">
        <w:rPr>
          <w:rFonts w:ascii="Times New Roman" w:hAnsi="Times New Roman" w:cs="Times New Roman"/>
          <w:sz w:val="24"/>
          <w:szCs w:val="24"/>
        </w:rPr>
        <w:t>The saturation current is mainly controlled by the applied gate voltage rather than the drain voltage.</w:t>
      </w:r>
    </w:p>
    <w:p w14:paraId="69610120" w14:textId="77777777" w:rsidR="00CB0174" w:rsidRPr="00CB0174" w:rsidRDefault="00CB0174" w:rsidP="00CB01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95B3B" w14:textId="5679B449" w:rsidR="007D123E" w:rsidRPr="007D123E" w:rsidRDefault="007D123E" w:rsidP="007D123E">
      <w:r>
        <w:rPr>
          <w:b/>
          <w:bCs/>
        </w:rPr>
        <w:t xml:space="preserve">       </w:t>
      </w:r>
      <w:r w:rsidRPr="007D123E">
        <w:rPr>
          <w:b/>
          <w:bCs/>
        </w:rPr>
        <w:t xml:space="preserve">Conclusion </w:t>
      </w:r>
      <w:r w:rsidRPr="007D123E">
        <w:t xml:space="preserve">The </w:t>
      </w:r>
      <w:proofErr w:type="spellStart"/>
      <w:r w:rsidRPr="007D123E">
        <w:t>NanoHub</w:t>
      </w:r>
      <w:proofErr w:type="spellEnd"/>
      <w:r w:rsidRPr="007D123E">
        <w:t xml:space="preserve"> simulation successfully demonstrates the electrical characteristics of a scaled MOSFET. </w:t>
      </w:r>
    </w:p>
    <w:p w14:paraId="395DD45B" w14:textId="77777777" w:rsidR="007D123E" w:rsidRPr="007D123E" w:rsidRDefault="007D123E" w:rsidP="007D123E">
      <w:pPr>
        <w:numPr>
          <w:ilvl w:val="0"/>
          <w:numId w:val="8"/>
        </w:numPr>
      </w:pPr>
      <w:r w:rsidRPr="007D123E">
        <w:t xml:space="preserve">Increasing the </w:t>
      </w:r>
      <w:r w:rsidRPr="007D123E">
        <w:rPr>
          <w:b/>
          <w:bCs/>
        </w:rPr>
        <w:t>gate voltage (VG)</w:t>
      </w:r>
      <w:r w:rsidRPr="007D123E">
        <w:t xml:space="preserve"> causes a significant increase in the </w:t>
      </w:r>
      <w:r w:rsidRPr="007D123E">
        <w:rPr>
          <w:b/>
          <w:bCs/>
        </w:rPr>
        <w:t>drain current (ID)</w:t>
      </w:r>
      <w:r w:rsidRPr="007D123E">
        <w:t xml:space="preserve"> due to stronger channel formation. </w:t>
      </w:r>
    </w:p>
    <w:p w14:paraId="5FA86C71" w14:textId="77777777" w:rsidR="007D123E" w:rsidRPr="007D123E" w:rsidRDefault="007D123E" w:rsidP="007D123E">
      <w:pPr>
        <w:numPr>
          <w:ilvl w:val="0"/>
          <w:numId w:val="8"/>
        </w:numPr>
      </w:pPr>
      <w:r w:rsidRPr="007D123E">
        <w:t xml:space="preserve">The drain current exhibits exponential </w:t>
      </w:r>
      <w:proofErr w:type="spellStart"/>
      <w:r w:rsidRPr="007D123E">
        <w:t>behavior</w:t>
      </w:r>
      <w:proofErr w:type="spellEnd"/>
      <w:r w:rsidRPr="007D123E">
        <w:t xml:space="preserve"> in the subthreshold region and increases rapidly after the threshold voltage is reached. </w:t>
      </w:r>
    </w:p>
    <w:p w14:paraId="5B550C88" w14:textId="77777777" w:rsidR="007D123E" w:rsidRPr="007D123E" w:rsidRDefault="007D123E" w:rsidP="007D123E">
      <w:pPr>
        <w:numPr>
          <w:ilvl w:val="0"/>
          <w:numId w:val="8"/>
        </w:numPr>
      </w:pPr>
      <w:r w:rsidRPr="007D123E">
        <w:t xml:space="preserve">Increasing the </w:t>
      </w:r>
      <w:r w:rsidRPr="007D123E">
        <w:rPr>
          <w:b/>
          <w:bCs/>
        </w:rPr>
        <w:t>drain voltage (VD)</w:t>
      </w:r>
      <w:r w:rsidRPr="007D123E">
        <w:t xml:space="preserve"> increases the drain current initially, after which it reaches the saturation region where the current remains nearly constant. </w:t>
      </w:r>
    </w:p>
    <w:p w14:paraId="68CEA34E" w14:textId="77777777" w:rsidR="007D123E" w:rsidRPr="007D123E" w:rsidRDefault="007D123E" w:rsidP="007D123E">
      <w:pPr>
        <w:numPr>
          <w:ilvl w:val="0"/>
          <w:numId w:val="8"/>
        </w:numPr>
      </w:pPr>
      <w:r w:rsidRPr="007D123E">
        <w:t xml:space="preserve">The simulation clearly distinguishes the </w:t>
      </w:r>
      <w:r w:rsidRPr="007D123E">
        <w:rPr>
          <w:b/>
          <w:bCs/>
        </w:rPr>
        <w:t>cut-off, linear, and saturation</w:t>
      </w:r>
      <w:r w:rsidRPr="007D123E">
        <w:t xml:space="preserve"> operating regions of the MOSFET</w:t>
      </w:r>
    </w:p>
    <w:p w14:paraId="5D6D6474" w14:textId="77777777" w:rsidR="00CB0174" w:rsidRDefault="00CB0174" w:rsidP="003705E7"/>
    <w:p w14:paraId="465D4274" w14:textId="77777777" w:rsidR="00CB2618" w:rsidRDefault="00CB2618" w:rsidP="003705E7"/>
    <w:p w14:paraId="12EE7354" w14:textId="77777777" w:rsidR="00CB2618" w:rsidRDefault="00CB2618" w:rsidP="003705E7"/>
    <w:p w14:paraId="6CDE4956" w14:textId="77777777" w:rsidR="00CB2618" w:rsidRDefault="00CB2618" w:rsidP="003705E7"/>
    <w:p w14:paraId="545F604E" w14:textId="77777777" w:rsidR="00CB2618" w:rsidRDefault="00CB2618" w:rsidP="003705E7"/>
    <w:p w14:paraId="1BF81EB3" w14:textId="6B8A2A7F" w:rsidR="00CB2618" w:rsidRPr="00FD3F40" w:rsidRDefault="00CB2618" w:rsidP="003705E7">
      <w:pPr>
        <w:rPr>
          <w:rFonts w:ascii="Times New Roman" w:hAnsi="Times New Roman" w:cs="Times New Roman"/>
          <w:sz w:val="28"/>
          <w:szCs w:val="28"/>
        </w:rPr>
      </w:pPr>
    </w:p>
    <w:sectPr w:rsidR="00CB2618" w:rsidRPr="00FD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65D"/>
    <w:multiLevelType w:val="multilevel"/>
    <w:tmpl w:val="61F6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37F41"/>
    <w:multiLevelType w:val="multilevel"/>
    <w:tmpl w:val="51CE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1200B"/>
    <w:multiLevelType w:val="multilevel"/>
    <w:tmpl w:val="1F90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F02B8"/>
    <w:multiLevelType w:val="hybridMultilevel"/>
    <w:tmpl w:val="199CC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B4B6A"/>
    <w:multiLevelType w:val="multilevel"/>
    <w:tmpl w:val="E9DA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7338A"/>
    <w:multiLevelType w:val="multilevel"/>
    <w:tmpl w:val="F13C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737E06"/>
    <w:multiLevelType w:val="multilevel"/>
    <w:tmpl w:val="0D90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86F24"/>
    <w:multiLevelType w:val="multilevel"/>
    <w:tmpl w:val="2CAA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60581">
    <w:abstractNumId w:val="0"/>
  </w:num>
  <w:num w:numId="2" w16cid:durableId="1132940551">
    <w:abstractNumId w:val="2"/>
  </w:num>
  <w:num w:numId="3" w16cid:durableId="1507358455">
    <w:abstractNumId w:val="5"/>
  </w:num>
  <w:num w:numId="4" w16cid:durableId="2089308329">
    <w:abstractNumId w:val="4"/>
  </w:num>
  <w:num w:numId="5" w16cid:durableId="207689349">
    <w:abstractNumId w:val="3"/>
  </w:num>
  <w:num w:numId="6" w16cid:durableId="123235263">
    <w:abstractNumId w:val="1"/>
  </w:num>
  <w:num w:numId="7" w16cid:durableId="1188374644">
    <w:abstractNumId w:val="7"/>
  </w:num>
  <w:num w:numId="8" w16cid:durableId="893203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40"/>
    <w:rsid w:val="00253AA3"/>
    <w:rsid w:val="003705E7"/>
    <w:rsid w:val="003F6381"/>
    <w:rsid w:val="0044096A"/>
    <w:rsid w:val="004C7C10"/>
    <w:rsid w:val="004D3BA3"/>
    <w:rsid w:val="00623A99"/>
    <w:rsid w:val="007544AB"/>
    <w:rsid w:val="007A6036"/>
    <w:rsid w:val="007D123E"/>
    <w:rsid w:val="007D1F7F"/>
    <w:rsid w:val="00A253F7"/>
    <w:rsid w:val="00AB5A64"/>
    <w:rsid w:val="00AE53F8"/>
    <w:rsid w:val="00CB0174"/>
    <w:rsid w:val="00CB2618"/>
    <w:rsid w:val="00D776BD"/>
    <w:rsid w:val="00D908C8"/>
    <w:rsid w:val="00DC50B2"/>
    <w:rsid w:val="00F15F1F"/>
    <w:rsid w:val="00F55A38"/>
    <w:rsid w:val="00FB471E"/>
    <w:rsid w:val="00FD3F40"/>
    <w:rsid w:val="00FD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CDE1"/>
  <w15:chartTrackingRefBased/>
  <w15:docId w15:val="{FB3EE6CC-03DD-445E-979F-B4E2A6BE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4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44AB"/>
    <w:rPr>
      <w:b/>
      <w:bCs/>
    </w:rPr>
  </w:style>
  <w:style w:type="paragraph" w:styleId="NormalWeb">
    <w:name w:val="Normal (Web)"/>
    <w:basedOn w:val="Normal"/>
    <w:uiPriority w:val="99"/>
    <w:unhideWhenUsed/>
    <w:rsid w:val="00754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pedanaboyina</dc:creator>
  <cp:keywords/>
  <dc:description/>
  <cp:lastModifiedBy>Raveendra Reddy P</cp:lastModifiedBy>
  <cp:revision>2</cp:revision>
  <dcterms:created xsi:type="dcterms:W3CDTF">2026-08-19T09:06:00Z</dcterms:created>
  <dcterms:modified xsi:type="dcterms:W3CDTF">2026-08-19T09:06:00Z</dcterms:modified>
</cp:coreProperties>
</file>