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D19D" w14:textId="1A816BE7" w:rsidR="00AB5A64" w:rsidRPr="007D123E" w:rsidRDefault="00FD3F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23E">
        <w:rPr>
          <w:rFonts w:ascii="Times New Roman" w:hAnsi="Times New Roman" w:cs="Times New Roman"/>
          <w:b/>
          <w:bCs/>
          <w:sz w:val="28"/>
          <w:szCs w:val="28"/>
        </w:rPr>
        <w:t xml:space="preserve">Exp. 5. Band Structure Simulation for Graphene and CNTs using </w:t>
      </w:r>
      <w:proofErr w:type="spellStart"/>
      <w:r w:rsidRPr="007D123E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1B639ED0" w14:textId="197722F8" w:rsidR="007A6036" w:rsidRPr="007A6036" w:rsidRDefault="007A6036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>Aim: To simulate the band structure of nanowire for various materials.</w:t>
      </w:r>
    </w:p>
    <w:p w14:paraId="50BE4D83" w14:textId="77777777" w:rsidR="00FD3F40" w:rsidRDefault="00FD3F40">
      <w:pPr>
        <w:rPr>
          <w:rFonts w:ascii="Times New Roman" w:hAnsi="Times New Roman" w:cs="Times New Roman"/>
          <w:sz w:val="28"/>
          <w:szCs w:val="28"/>
        </w:rPr>
      </w:pPr>
    </w:p>
    <w:p w14:paraId="2ACA6A5A" w14:textId="4E30550D" w:rsidR="00FD3F40" w:rsidRDefault="00FD3F40">
      <w:pPr>
        <w:rPr>
          <w:rFonts w:ascii="Times New Roman" w:hAnsi="Times New Roman" w:cs="Times New Roman"/>
          <w:sz w:val="28"/>
          <w:szCs w:val="28"/>
        </w:rPr>
      </w:pPr>
      <w:r w:rsidRPr="00FD3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A082D" wp14:editId="1680BA74">
            <wp:extent cx="5731510" cy="2933700"/>
            <wp:effectExtent l="0" t="0" r="2540" b="0"/>
            <wp:docPr id="53178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9B8A" w14:textId="77777777" w:rsidR="00FD3F40" w:rsidRDefault="00FD3F40">
      <w:pPr>
        <w:rPr>
          <w:rFonts w:ascii="Times New Roman" w:hAnsi="Times New Roman" w:cs="Times New Roman"/>
          <w:sz w:val="28"/>
          <w:szCs w:val="28"/>
        </w:rPr>
      </w:pPr>
    </w:p>
    <w:p w14:paraId="5F314E64" w14:textId="2D36A274" w:rsidR="00FD3F40" w:rsidRPr="007A6036" w:rsidRDefault="00FD3F40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1: Simulate the band-structure of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circular nanowire</w:t>
      </w:r>
    </w:p>
    <w:p w14:paraId="60D05D98" w14:textId="33BF6206" w:rsidR="00FD3F40" w:rsidRDefault="003705E7">
      <w:pPr>
        <w:rPr>
          <w:rFonts w:ascii="Times New Roman" w:hAnsi="Times New Roman" w:cs="Times New Roman"/>
          <w:sz w:val="28"/>
          <w:szCs w:val="28"/>
        </w:rPr>
      </w:pPr>
      <w:r w:rsidRPr="00FD3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FF2D0" wp14:editId="3C52EB73">
            <wp:extent cx="5581650" cy="3181350"/>
            <wp:effectExtent l="0" t="0" r="0" b="0"/>
            <wp:docPr id="36024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70" cy="32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8C20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3F7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46FB8D87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band structure consists of several discrete energy bands due to strong quantum confinement in the circular nanowire. </w:t>
      </w:r>
    </w:p>
    <w:p w14:paraId="3B714F15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lastRenderedPageBreak/>
        <w:t xml:space="preserve">The conduction and valence bands remain well separated, indicating the presence of a finite band gap. </w:t>
      </w:r>
    </w:p>
    <w:p w14:paraId="04F3A6B5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Energy bands exhibit noticeable curvature with increasing wave vector (k), showing the dispersive nature of charge carriers. </w:t>
      </w:r>
    </w:p>
    <w:p w14:paraId="124F2B93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lowest conduction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subband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 changes smoothly with k, indicating high electron mobility in the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 nanowire.</w:t>
      </w:r>
    </w:p>
    <w:p w14:paraId="25CB9553" w14:textId="75B8D36B" w:rsidR="00FD3F40" w:rsidRPr="00A253F7" w:rsidRDefault="00FD3F40">
      <w:pPr>
        <w:rPr>
          <w:rFonts w:ascii="Times New Roman" w:hAnsi="Times New Roman" w:cs="Times New Roman"/>
          <w:sz w:val="24"/>
          <w:szCs w:val="24"/>
        </w:rPr>
      </w:pPr>
    </w:p>
    <w:p w14:paraId="6F1D3E50" w14:textId="77777777" w:rsidR="00FD3F40" w:rsidRDefault="00FD3F40">
      <w:pPr>
        <w:rPr>
          <w:rFonts w:ascii="Times New Roman" w:hAnsi="Times New Roman" w:cs="Times New Roman"/>
          <w:sz w:val="28"/>
          <w:szCs w:val="28"/>
        </w:rPr>
      </w:pPr>
    </w:p>
    <w:p w14:paraId="1F0DB608" w14:textId="2DE8BB16" w:rsidR="00FD3F40" w:rsidRPr="007A6036" w:rsidRDefault="00FD3F40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2: Simulate the band-structure of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circular nanowire </w:t>
      </w:r>
    </w:p>
    <w:p w14:paraId="1555C12C" w14:textId="2E55C0B1" w:rsidR="003705E7" w:rsidRP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  <w:r w:rsidRPr="003705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0F4A3" wp14:editId="7396617D">
            <wp:extent cx="5702300" cy="2992755"/>
            <wp:effectExtent l="0" t="0" r="0" b="0"/>
            <wp:docPr id="739935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83" cy="30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36C7" w14:textId="14729845" w:rsidR="003705E7" w:rsidRDefault="003705E7">
      <w:pPr>
        <w:rPr>
          <w:rFonts w:ascii="Times New Roman" w:hAnsi="Times New Roman" w:cs="Times New Roman"/>
          <w:sz w:val="28"/>
          <w:szCs w:val="28"/>
        </w:rPr>
      </w:pPr>
    </w:p>
    <w:p w14:paraId="6C443814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3F7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102844BD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Multiple quantized energy bands are observed due to confinement within the nanowire. </w:t>
      </w:r>
    </w:p>
    <w:p w14:paraId="73E1C8AB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Compared to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, the energy bands are located at relatively higher energies, indicating a larger band gap. </w:t>
      </w:r>
    </w:p>
    <w:p w14:paraId="37DC494C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conduction band is flatter over several k-values, suggesting a larger effective mass and comparatively lower carrier mobility. </w:t>
      </w:r>
    </w:p>
    <w:p w14:paraId="18F4C825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Band dispersion is less pronounced than in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>, indicating stronger carrier confinement</w:t>
      </w:r>
    </w:p>
    <w:p w14:paraId="6D0F9CCD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53F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FF5E62" w14:textId="77777777" w:rsidR="00A253F7" w:rsidRPr="007544AB" w:rsidRDefault="00A253F7" w:rsidP="00A253F7">
      <w:p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NanoHub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simulations successfully demonstrate the band structure characteristics of circular nanowires made from different semiconductor materials. Both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exhibit quantized energy bands as a result of nanoscale confinement.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shows greater </w:t>
      </w:r>
      <w:r w:rsidRPr="007544AB">
        <w:rPr>
          <w:rFonts w:ascii="Times New Roman" w:hAnsi="Times New Roman" w:cs="Times New Roman"/>
          <w:sz w:val="24"/>
          <w:szCs w:val="24"/>
        </w:rPr>
        <w:lastRenderedPageBreak/>
        <w:t xml:space="preserve">band dispersion, a smaller band gap, and higher electron mobility, making it suitable for high-speed electronic and infrared devices. In contrast,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exhibits a larger band gap, stronger carrier confinement, and lower band dispersion, making it well suited for optoelectronic, photonic, and high-temperature applications.</w:t>
      </w:r>
    </w:p>
    <w:p w14:paraId="58105A5C" w14:textId="01D49D76" w:rsidR="00A253F7" w:rsidRPr="007544AB" w:rsidRDefault="00A253F7">
      <w:pPr>
        <w:rPr>
          <w:rFonts w:ascii="Times New Roman" w:hAnsi="Times New Roman" w:cs="Times New Roman"/>
          <w:sz w:val="28"/>
          <w:szCs w:val="28"/>
        </w:rPr>
      </w:pPr>
    </w:p>
    <w:p w14:paraId="64C3FBA7" w14:textId="6FB3A44F" w:rsidR="003705E7" w:rsidRPr="007D123E" w:rsidRDefault="003705E7" w:rsidP="0037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23E">
        <w:rPr>
          <w:rFonts w:ascii="Times New Roman" w:hAnsi="Times New Roman" w:cs="Times New Roman"/>
          <w:b/>
          <w:bCs/>
          <w:sz w:val="28"/>
          <w:szCs w:val="28"/>
        </w:rPr>
        <w:t xml:space="preserve">Exp. 6. Demonstration of Quantum </w:t>
      </w:r>
      <w:proofErr w:type="spellStart"/>
      <w:r w:rsidRPr="007D123E">
        <w:rPr>
          <w:rFonts w:ascii="Times New Roman" w:hAnsi="Times New Roman" w:cs="Times New Roman"/>
          <w:b/>
          <w:bCs/>
          <w:sz w:val="28"/>
          <w:szCs w:val="28"/>
        </w:rPr>
        <w:t>Tunneling</w:t>
      </w:r>
      <w:proofErr w:type="spellEnd"/>
    </w:p>
    <w:p w14:paraId="49C47484" w14:textId="49DEF496" w:rsidR="007A6036" w:rsidRPr="007A6036" w:rsidRDefault="007A6036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Aim: To learn the demonstration of Quantum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is analysed and the key learning points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areobserved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using nano hub simulation tool</w:t>
      </w:r>
    </w:p>
    <w:p w14:paraId="274B0598" w14:textId="77777777" w:rsidR="003705E7" w:rsidRP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</w:p>
    <w:p w14:paraId="4F200230" w14:textId="2F306722" w:rsidR="003705E7" w:rsidRPr="007A6036" w:rsidRDefault="003705E7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</w:t>
      </w:r>
      <w:proofErr w:type="gramStart"/>
      <w:r w:rsidRPr="007A603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7A6036">
        <w:rPr>
          <w:rFonts w:ascii="Times New Roman" w:hAnsi="Times New Roman" w:cs="Times New Roman"/>
          <w:sz w:val="24"/>
          <w:szCs w:val="24"/>
        </w:rPr>
        <w:t xml:space="preserve"> Analysis the transmission co-efficient Vs Energy characteristics on refined grid</w:t>
      </w:r>
    </w:p>
    <w:p w14:paraId="36F9C308" w14:textId="6BD7FC35" w:rsidR="00CB2618" w:rsidRDefault="00CB2618" w:rsidP="003705E7">
      <w:pPr>
        <w:rPr>
          <w:rFonts w:ascii="Times New Roman" w:hAnsi="Times New Roman" w:cs="Times New Roman"/>
          <w:sz w:val="28"/>
          <w:szCs w:val="28"/>
        </w:rPr>
      </w:pPr>
      <w:r w:rsidRPr="00182687">
        <w:rPr>
          <w:noProof/>
        </w:rPr>
        <w:drawing>
          <wp:inline distT="0" distB="0" distL="0" distR="0" wp14:anchorId="57F37C55" wp14:editId="1B5DF7BE">
            <wp:extent cx="5731510" cy="1906905"/>
            <wp:effectExtent l="0" t="0" r="2540" b="0"/>
            <wp:docPr id="1163886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2FCB" w14:textId="77777777" w:rsid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</w:p>
    <w:p w14:paraId="7A2C3E46" w14:textId="77777777" w:rsidR="007544AB" w:rsidRPr="007544AB" w:rsidRDefault="007544AB" w:rsidP="00754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4AB">
        <w:rPr>
          <w:rFonts w:ascii="Times New Roman" w:hAnsi="Times New Roman" w:cs="Times New Roman"/>
          <w:b/>
          <w:bCs/>
          <w:sz w:val="24"/>
          <w:szCs w:val="24"/>
        </w:rPr>
        <w:t>Observations:</w:t>
      </w:r>
    </w:p>
    <w:p w14:paraId="0E5E036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transmission coefficient is very low at lower energy values, indicating that very few electrons tunnel through the potential barrier. </w:t>
      </w:r>
    </w:p>
    <w:p w14:paraId="47B58FE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As the particle energy increases, the transmission coefficient gradually increases. </w:t>
      </w:r>
    </w:p>
    <w:p w14:paraId="1B5EC366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Sharp variations (resonance peaks) are observed at certain energy levels, indicating enhanced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probability. </w:t>
      </w:r>
    </w:p>
    <w:p w14:paraId="1D7AED2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refined grid provides smooth and accurate curves, clearly showing the resonance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E8EDDA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results obtained from the </w:t>
      </w:r>
      <w:r w:rsidRPr="007544AB">
        <w:rPr>
          <w:rFonts w:ascii="Times New Roman" w:hAnsi="Times New Roman" w:cs="Times New Roman"/>
          <w:b/>
          <w:bCs/>
          <w:sz w:val="24"/>
          <w:szCs w:val="24"/>
        </w:rPr>
        <w:t>Transfer Matrix Method</w:t>
      </w:r>
      <w:r w:rsidRPr="007544AB">
        <w:rPr>
          <w:rFonts w:ascii="Times New Roman" w:hAnsi="Times New Roman" w:cs="Times New Roman"/>
          <w:sz w:val="24"/>
          <w:szCs w:val="24"/>
        </w:rPr>
        <w:t xml:space="preserve"> and </w:t>
      </w:r>
      <w:r w:rsidRPr="007544AB">
        <w:rPr>
          <w:rFonts w:ascii="Times New Roman" w:hAnsi="Times New Roman" w:cs="Times New Roman"/>
          <w:b/>
          <w:bCs/>
          <w:sz w:val="24"/>
          <w:szCs w:val="24"/>
        </w:rPr>
        <w:t>Tight-Binding (TB) Method</w:t>
      </w:r>
      <w:r w:rsidRPr="007544AB">
        <w:rPr>
          <w:rFonts w:ascii="Times New Roman" w:hAnsi="Times New Roman" w:cs="Times New Roman"/>
          <w:sz w:val="24"/>
          <w:szCs w:val="24"/>
        </w:rPr>
        <w:t xml:space="preserve"> almost overlap, confirming good agreement between both simulation methods.</w:t>
      </w:r>
    </w:p>
    <w:p w14:paraId="62379CE4" w14:textId="77777777" w:rsidR="007544AB" w:rsidRDefault="007544AB" w:rsidP="003705E7">
      <w:pPr>
        <w:rPr>
          <w:rFonts w:ascii="Times New Roman" w:hAnsi="Times New Roman" w:cs="Times New Roman"/>
          <w:sz w:val="28"/>
          <w:szCs w:val="28"/>
        </w:rPr>
      </w:pPr>
    </w:p>
    <w:p w14:paraId="58A887E1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29EBF943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3C5E792A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6A286D5A" w14:textId="70A140EB" w:rsidR="00CB2618" w:rsidRPr="007544AB" w:rsidRDefault="003705E7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lastRenderedPageBreak/>
        <w:t xml:space="preserve">Case study </w:t>
      </w:r>
      <w:proofErr w:type="gramStart"/>
      <w:r w:rsidRPr="007A6036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7A6036">
        <w:rPr>
          <w:rFonts w:ascii="Times New Roman" w:hAnsi="Times New Roman" w:cs="Times New Roman"/>
          <w:sz w:val="24"/>
          <w:szCs w:val="24"/>
        </w:rPr>
        <w:t xml:space="preserve"> Analysis the Reflection co-efficient Vs Energy on Homogeneous Grid</w:t>
      </w:r>
      <w:r w:rsidR="00CB2618" w:rsidRPr="00182687">
        <w:rPr>
          <w:noProof/>
        </w:rPr>
        <w:drawing>
          <wp:inline distT="0" distB="0" distL="0" distR="0" wp14:anchorId="109FE644" wp14:editId="0E66DDF7">
            <wp:extent cx="5731510" cy="1988820"/>
            <wp:effectExtent l="0" t="0" r="2540" b="0"/>
            <wp:docPr id="1047441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AAAA" w14:textId="77777777" w:rsidR="00CB2618" w:rsidRDefault="00CB2618" w:rsidP="003705E7">
      <w:pPr>
        <w:rPr>
          <w:rFonts w:ascii="Times New Roman" w:hAnsi="Times New Roman" w:cs="Times New Roman"/>
          <w:sz w:val="28"/>
          <w:szCs w:val="28"/>
        </w:rPr>
      </w:pPr>
    </w:p>
    <w:p w14:paraId="49A9D9BD" w14:textId="77777777" w:rsidR="007544AB" w:rsidRPr="007544AB" w:rsidRDefault="007544AB" w:rsidP="00754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4AB">
        <w:rPr>
          <w:rFonts w:ascii="Times New Roman" w:hAnsi="Times New Roman" w:cs="Times New Roman"/>
          <w:b/>
          <w:bCs/>
          <w:sz w:val="24"/>
          <w:szCs w:val="24"/>
        </w:rPr>
        <w:t>Observations:</w:t>
      </w:r>
    </w:p>
    <w:p w14:paraId="141306AC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reflection coefficient is close to one at lower energy values, indicating that most electrons are reflected by the barrier. </w:t>
      </w:r>
    </w:p>
    <w:p w14:paraId="38F3B440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As the energy increases, the reflection coefficient gradually decreases due to increased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probability. </w:t>
      </w:r>
    </w:p>
    <w:p w14:paraId="7856C4D4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At resonance energies, sharp dips are observed in the reflection coefficient, corresponding to peaks in the transmission coefficient. </w:t>
      </w:r>
    </w:p>
    <w:p w14:paraId="33C9E118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homogeneous grid produces a smooth reflection curve with consistent numerical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D14BB" w14:textId="77777777" w:rsid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>The Transfer Matrix Method and Tight-Binding Method produce nearly identical results, demonstrating the accuracy of both approaches.</w:t>
      </w:r>
    </w:p>
    <w:p w14:paraId="46C5B387" w14:textId="77777777" w:rsidR="007544AB" w:rsidRPr="007544AB" w:rsidRDefault="007544AB" w:rsidP="007544A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44A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Conclusion</w:t>
      </w:r>
    </w:p>
    <w:p w14:paraId="1733ACB7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</w:t>
      </w:r>
      <w:proofErr w:type="spellStart"/>
      <w:r w:rsidRPr="007544AB">
        <w:t>NanoHub</w:t>
      </w:r>
      <w:proofErr w:type="spellEnd"/>
      <w:r w:rsidRPr="007544AB">
        <w:t xml:space="preserve"> simulation successfully demonstrates the concept of </w:t>
      </w:r>
      <w:r w:rsidRPr="007544AB">
        <w:rPr>
          <w:rStyle w:val="Strong"/>
          <w:b w:val="0"/>
          <w:bCs w:val="0"/>
        </w:rPr>
        <w:t xml:space="preserve">quantum </w:t>
      </w:r>
      <w:proofErr w:type="spellStart"/>
      <w:r w:rsidRPr="007544AB">
        <w:rPr>
          <w:rStyle w:val="Strong"/>
          <w:b w:val="0"/>
          <w:bCs w:val="0"/>
        </w:rPr>
        <w:t>tunneling</w:t>
      </w:r>
      <w:proofErr w:type="spellEnd"/>
      <w:r w:rsidRPr="007544AB">
        <w:t xml:space="preserve">. </w:t>
      </w:r>
    </w:p>
    <w:p w14:paraId="1FF54BC8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transmission coefficient increases with increasing particle energy, while the reflection coefficient decreases accordingly. </w:t>
      </w:r>
    </w:p>
    <w:p w14:paraId="74AC8209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>Resonance effects are clearly visible, where electrons tunnel through the barrier with high probability at specific energy levels.</w:t>
      </w:r>
    </w:p>
    <w:p w14:paraId="070B4E4B" w14:textId="0AEB294A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close agreement between the </w:t>
      </w:r>
      <w:r w:rsidRPr="007544AB">
        <w:rPr>
          <w:rStyle w:val="Strong"/>
          <w:b w:val="0"/>
          <w:bCs w:val="0"/>
        </w:rPr>
        <w:t>Transfer Matrix Method</w:t>
      </w:r>
      <w:r w:rsidRPr="007544AB">
        <w:t xml:space="preserve"> and </w:t>
      </w:r>
      <w:r w:rsidRPr="007544AB">
        <w:rPr>
          <w:rStyle w:val="Strong"/>
          <w:b w:val="0"/>
          <w:bCs w:val="0"/>
        </w:rPr>
        <w:t>Tight-Binding Method</w:t>
      </w:r>
      <w:r w:rsidRPr="007544AB">
        <w:t xml:space="preserve"> validates the correctness and reliability of the simulation. </w:t>
      </w:r>
    </w:p>
    <w:p w14:paraId="29852DDE" w14:textId="19059AAB" w:rsidR="007544AB" w:rsidRPr="007544AB" w:rsidRDefault="007544AB" w:rsidP="007544AB">
      <w:pPr>
        <w:pStyle w:val="NormalWeb"/>
        <w:numPr>
          <w:ilvl w:val="0"/>
          <w:numId w:val="5"/>
        </w:numPr>
      </w:pPr>
      <w:r w:rsidRPr="007544AB">
        <w:t>Overall, the experiment confirms the fundamental principle of quantum mechanics that particles can tunnel through a potential barrier even when their energy is lower than the barrier height, illustrating the wave nature of electrons.</w:t>
      </w:r>
    </w:p>
    <w:p w14:paraId="5B7BB8E0" w14:textId="77777777" w:rsidR="007544AB" w:rsidRPr="007544AB" w:rsidRDefault="007544AB" w:rsidP="007544A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79FB49" w14:textId="77777777" w:rsidR="007544AB" w:rsidRDefault="007544AB" w:rsidP="003705E7">
      <w:pPr>
        <w:rPr>
          <w:rFonts w:ascii="Times New Roman" w:hAnsi="Times New Roman" w:cs="Times New Roman"/>
          <w:sz w:val="28"/>
          <w:szCs w:val="28"/>
        </w:rPr>
      </w:pPr>
    </w:p>
    <w:p w14:paraId="6AFD2855" w14:textId="138799C5" w:rsidR="00CB2618" w:rsidRDefault="00CB2618" w:rsidP="003705E7">
      <w:pPr>
        <w:rPr>
          <w:rFonts w:ascii="Times New Roman" w:hAnsi="Times New Roman" w:cs="Times New Roman"/>
          <w:sz w:val="28"/>
          <w:szCs w:val="28"/>
        </w:rPr>
      </w:pPr>
    </w:p>
    <w:p w14:paraId="40289038" w14:textId="04188D55" w:rsidR="00CB2618" w:rsidRDefault="00CB2618" w:rsidP="003705E7"/>
    <w:p w14:paraId="735943F7" w14:textId="77777777" w:rsidR="00CB2618" w:rsidRPr="007D123E" w:rsidRDefault="00CB2618" w:rsidP="00CB2618">
      <w:pPr>
        <w:tabs>
          <w:tab w:val="left" w:pos="62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123E">
        <w:rPr>
          <w:rFonts w:ascii="Times New Roman" w:hAnsi="Times New Roman" w:cs="Times New Roman"/>
          <w:b/>
          <w:bCs/>
          <w:sz w:val="28"/>
          <w:szCs w:val="28"/>
        </w:rPr>
        <w:t xml:space="preserve">Exp. 7. MOSFET Scaling Analysis and Subthreshold Swing Calculation using </w:t>
      </w:r>
      <w:proofErr w:type="spellStart"/>
      <w:r w:rsidRPr="007D123E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121E9DC8" w14:textId="170F1EB4" w:rsidR="007D123E" w:rsidRPr="00CB2618" w:rsidRDefault="007D123E" w:rsidP="00CB2618">
      <w:pPr>
        <w:tabs>
          <w:tab w:val="left" w:pos="6280"/>
        </w:tabs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>Aim: To study the current-voltage characteristics and transconductance efficiency of a single-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gateMOSFET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NanoHUB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FetToy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Simulator.</w:t>
      </w:r>
    </w:p>
    <w:p w14:paraId="42913DA3" w14:textId="77777777" w:rsidR="00CB2618" w:rsidRPr="00CB2618" w:rsidRDefault="00CB2618" w:rsidP="00CB2618">
      <w:pPr>
        <w:tabs>
          <w:tab w:val="left" w:pos="6280"/>
        </w:tabs>
        <w:rPr>
          <w:rFonts w:ascii="Times New Roman" w:hAnsi="Times New Roman" w:cs="Times New Roman"/>
          <w:sz w:val="24"/>
          <w:szCs w:val="24"/>
        </w:rPr>
      </w:pPr>
      <w:r w:rsidRPr="00CB2618">
        <w:rPr>
          <w:rFonts w:ascii="Times New Roman" w:hAnsi="Times New Roman" w:cs="Times New Roman"/>
          <w:sz w:val="24"/>
          <w:szCs w:val="24"/>
        </w:rPr>
        <w:t xml:space="preserve">Case 1: Increase in </w:t>
      </w:r>
      <w:proofErr w:type="gramStart"/>
      <w:r w:rsidRPr="00CB2618">
        <w:rPr>
          <w:rFonts w:ascii="Times New Roman" w:hAnsi="Times New Roman" w:cs="Times New Roman"/>
          <w:sz w:val="24"/>
          <w:szCs w:val="24"/>
        </w:rPr>
        <w:t>VG :</w:t>
      </w:r>
      <w:proofErr w:type="gramEnd"/>
    </w:p>
    <w:p w14:paraId="58F66710" w14:textId="77777777" w:rsidR="00CB2618" w:rsidRDefault="00CB2618" w:rsidP="00CB2618">
      <w:pPr>
        <w:tabs>
          <w:tab w:val="left" w:pos="6280"/>
        </w:tabs>
        <w:rPr>
          <w:b/>
          <w:bCs/>
        </w:rPr>
      </w:pPr>
      <w:r w:rsidRPr="00CB2618">
        <w:rPr>
          <w:rFonts w:ascii="Times New Roman" w:hAnsi="Times New Roman" w:cs="Times New Roman"/>
          <w:sz w:val="24"/>
          <w:szCs w:val="24"/>
        </w:rPr>
        <w:t>● Observation: As VG increases, the drain current (</w:t>
      </w:r>
      <w:proofErr w:type="gramStart"/>
      <w:r w:rsidRPr="00CB2618">
        <w:rPr>
          <w:rFonts w:ascii="Times New Roman" w:hAnsi="Times New Roman" w:cs="Times New Roman"/>
          <w:sz w:val="24"/>
          <w:szCs w:val="24"/>
        </w:rPr>
        <w:t>ID )</w:t>
      </w:r>
      <w:proofErr w:type="gramEnd"/>
      <w:r w:rsidRPr="00CB2618">
        <w:rPr>
          <w:rFonts w:ascii="Times New Roman" w:hAnsi="Times New Roman" w:cs="Times New Roman"/>
          <w:sz w:val="24"/>
          <w:szCs w:val="24"/>
        </w:rPr>
        <w:t xml:space="preserve"> also increases </w:t>
      </w:r>
      <w:proofErr w:type="spellStart"/>
      <w:r w:rsidRPr="00CB2618">
        <w:rPr>
          <w:rFonts w:ascii="Times New Roman" w:hAnsi="Times New Roman" w:cs="Times New Roman"/>
          <w:sz w:val="24"/>
          <w:szCs w:val="24"/>
        </w:rPr>
        <w:t>exponentiallydue</w:t>
      </w:r>
      <w:proofErr w:type="spellEnd"/>
      <w:r w:rsidRPr="00CB2618">
        <w:rPr>
          <w:rFonts w:ascii="Times New Roman" w:hAnsi="Times New Roman" w:cs="Times New Roman"/>
          <w:sz w:val="24"/>
          <w:szCs w:val="24"/>
        </w:rPr>
        <w:t xml:space="preserve"> to the MOSFET entering the saturation region earlier</w:t>
      </w:r>
      <w:r w:rsidRPr="00CB2618">
        <w:rPr>
          <w:b/>
          <w:bCs/>
        </w:rPr>
        <w:t xml:space="preserve">. </w:t>
      </w:r>
    </w:p>
    <w:p w14:paraId="303555E0" w14:textId="77777777" w:rsidR="00623A99" w:rsidRDefault="00623A99" w:rsidP="00CB2618">
      <w:pPr>
        <w:tabs>
          <w:tab w:val="left" w:pos="6280"/>
        </w:tabs>
        <w:rPr>
          <w:b/>
          <w:bCs/>
        </w:rPr>
      </w:pPr>
    </w:p>
    <w:p w14:paraId="4955047B" w14:textId="37EDEBA3" w:rsidR="00CB0174" w:rsidRPr="00CB0174" w:rsidRDefault="00CB0174" w:rsidP="00CB0174">
      <w:pPr>
        <w:tabs>
          <w:tab w:val="left" w:pos="6280"/>
        </w:tabs>
        <w:rPr>
          <w:b/>
          <w:bCs/>
        </w:rPr>
      </w:pPr>
      <w:r w:rsidRPr="00CB0174">
        <w:rPr>
          <w:b/>
          <w:bCs/>
          <w:noProof/>
        </w:rPr>
        <w:drawing>
          <wp:inline distT="0" distB="0" distL="0" distR="0" wp14:anchorId="046F9FE0" wp14:editId="2A3B16FF">
            <wp:extent cx="5731510" cy="3383280"/>
            <wp:effectExtent l="0" t="0" r="2540" b="7620"/>
            <wp:docPr id="623747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CB32" w14:textId="055273B4" w:rsidR="007D123E" w:rsidRPr="007D123E" w:rsidRDefault="007D123E" w:rsidP="007D123E">
      <w:pPr>
        <w:tabs>
          <w:tab w:val="left" w:pos="6870"/>
        </w:tabs>
        <w:rPr>
          <w:b/>
          <w:bCs/>
        </w:rPr>
      </w:pPr>
      <w:r w:rsidRPr="007D123E">
        <w:rPr>
          <w:b/>
          <w:bCs/>
        </w:rPr>
        <w:t>Observations:</w:t>
      </w:r>
    </w:p>
    <w:p w14:paraId="28A616EE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>As the gate voltage (</w:t>
      </w:r>
      <w:r w:rsidRPr="007D123E">
        <w:rPr>
          <w:b/>
          <w:bCs/>
        </w:rPr>
        <w:t>VG</w:t>
      </w:r>
      <w:r w:rsidRPr="007D123E">
        <w:t>) increases, the drain current (</w:t>
      </w:r>
      <w:r w:rsidRPr="007D123E">
        <w:rPr>
          <w:b/>
          <w:bCs/>
        </w:rPr>
        <w:t>ID</w:t>
      </w:r>
      <w:r w:rsidRPr="007D123E">
        <w:t xml:space="preserve">) increases exponentially in the subthreshold region. </w:t>
      </w:r>
    </w:p>
    <w:p w14:paraId="06CA732B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>Once the threshold voltage (</w:t>
      </w:r>
      <w:r w:rsidRPr="007D123E">
        <w:rPr>
          <w:b/>
          <w:bCs/>
        </w:rPr>
        <w:t>VTH</w:t>
      </w:r>
      <w:r w:rsidRPr="007D123E">
        <w:t xml:space="preserve">) is reached, the MOSFET turns ON and the drain current increases rapidly. </w:t>
      </w:r>
    </w:p>
    <w:p w14:paraId="1FB0EFC5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 xml:space="preserve">A higher gate voltage enhances the inversion layer, allowing more charge carriers to flow through the channel. </w:t>
      </w:r>
    </w:p>
    <w:p w14:paraId="61EB266A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 xml:space="preserve">The device enters the saturation region at lower drain voltages as </w:t>
      </w:r>
      <w:r w:rsidRPr="007D123E">
        <w:rPr>
          <w:b/>
          <w:bCs/>
        </w:rPr>
        <w:t>VG</w:t>
      </w:r>
      <w:r w:rsidRPr="007D123E">
        <w:t xml:space="preserve"> increases.</w:t>
      </w:r>
    </w:p>
    <w:p w14:paraId="0D284CFD" w14:textId="152DA626" w:rsidR="00CB2618" w:rsidRPr="00182687" w:rsidRDefault="00CB2618" w:rsidP="007D123E">
      <w:pPr>
        <w:tabs>
          <w:tab w:val="left" w:pos="6870"/>
        </w:tabs>
      </w:pPr>
    </w:p>
    <w:p w14:paraId="42A8B61B" w14:textId="31586C77" w:rsidR="00CB0174" w:rsidRPr="00CB0174" w:rsidRDefault="00CB0174" w:rsidP="00CB0174">
      <w:r w:rsidRPr="00CB0174">
        <w:rPr>
          <w:noProof/>
        </w:rPr>
        <w:lastRenderedPageBreak/>
        <w:drawing>
          <wp:inline distT="0" distB="0" distL="0" distR="0" wp14:anchorId="4D0E8F9F" wp14:editId="6D495540">
            <wp:extent cx="5731510" cy="3134995"/>
            <wp:effectExtent l="0" t="0" r="2540" b="8255"/>
            <wp:docPr id="1537892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CD2F" w14:textId="77777777" w:rsidR="00CB2618" w:rsidRDefault="00CB2618" w:rsidP="003705E7"/>
    <w:p w14:paraId="2DBD4AE5" w14:textId="77777777" w:rsidR="00CB0174" w:rsidRP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 w:rsidRPr="00CB0174">
        <w:rPr>
          <w:rFonts w:ascii="Times New Roman" w:hAnsi="Times New Roman" w:cs="Times New Roman"/>
          <w:sz w:val="24"/>
          <w:szCs w:val="24"/>
        </w:rPr>
        <w:t xml:space="preserve">Case 2: Variation in </w:t>
      </w:r>
      <w:proofErr w:type="gramStart"/>
      <w:r w:rsidRPr="00CB0174">
        <w:rPr>
          <w:rFonts w:ascii="Times New Roman" w:hAnsi="Times New Roman" w:cs="Times New Roman"/>
          <w:sz w:val="24"/>
          <w:szCs w:val="24"/>
        </w:rPr>
        <w:t>VD :</w:t>
      </w:r>
      <w:proofErr w:type="gramEnd"/>
    </w:p>
    <w:p w14:paraId="51EF1007" w14:textId="77777777" w:rsid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 w:rsidRPr="00CB0174">
        <w:rPr>
          <w:rFonts w:ascii="Times New Roman" w:hAnsi="Times New Roman" w:cs="Times New Roman"/>
          <w:sz w:val="24"/>
          <w:szCs w:val="24"/>
        </w:rPr>
        <w:t>● Observation: Drain current (</w:t>
      </w:r>
      <w:proofErr w:type="gramStart"/>
      <w:r w:rsidRPr="00CB0174">
        <w:rPr>
          <w:rFonts w:ascii="Times New Roman" w:hAnsi="Times New Roman" w:cs="Times New Roman"/>
          <w:sz w:val="24"/>
          <w:szCs w:val="24"/>
        </w:rPr>
        <w:t>ID )</w:t>
      </w:r>
      <w:proofErr w:type="gramEnd"/>
      <w:r w:rsidRPr="00CB0174">
        <w:rPr>
          <w:rFonts w:ascii="Times New Roman" w:hAnsi="Times New Roman" w:cs="Times New Roman"/>
          <w:sz w:val="24"/>
          <w:szCs w:val="24"/>
        </w:rPr>
        <w:t xml:space="preserve"> saturates for higher VD at a fixed VG</w:t>
      </w:r>
    </w:p>
    <w:p w14:paraId="6B056499" w14:textId="77777777" w:rsid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</w:p>
    <w:p w14:paraId="677BD01C" w14:textId="09DDC74A" w:rsidR="00CB0174" w:rsidRP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C926A" wp14:editId="283ED5D9">
            <wp:extent cx="5731510" cy="3991610"/>
            <wp:effectExtent l="0" t="0" r="2540" b="8890"/>
            <wp:docPr id="2028386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2CEF" w14:textId="77777777" w:rsidR="007D123E" w:rsidRDefault="007D123E" w:rsidP="007D123E">
      <w:pPr>
        <w:rPr>
          <w:rFonts w:ascii="Times New Roman" w:hAnsi="Times New Roman" w:cs="Times New Roman"/>
          <w:sz w:val="24"/>
          <w:szCs w:val="24"/>
        </w:rPr>
      </w:pPr>
    </w:p>
    <w:p w14:paraId="7E254539" w14:textId="5B66AB15" w:rsidR="007D123E" w:rsidRPr="007D123E" w:rsidRDefault="007D123E" w:rsidP="007D123E">
      <w:p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lastRenderedPageBreak/>
        <w:t>Observations:</w:t>
      </w:r>
    </w:p>
    <w:p w14:paraId="76DD8BA6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 xml:space="preserve">At a fixed gate voltage (VG), the drain current (ID) increases with increasing drain voltage (VD) in the linear region. </w:t>
      </w:r>
    </w:p>
    <w:p w14:paraId="2C434788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 xml:space="preserve">Beyond the saturation voltage, the drain current becomes nearly constant, indicating saturation operation. </w:t>
      </w:r>
    </w:p>
    <w:p w14:paraId="2C1BF95C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 xml:space="preserve">Further increase in VD causes only a slight increase in ID due to channel length modulation. </w:t>
      </w:r>
    </w:p>
    <w:p w14:paraId="483A06CD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>The saturation current is mainly controlled by the applied gate voltage rather than the drain voltage.</w:t>
      </w:r>
    </w:p>
    <w:p w14:paraId="69610120" w14:textId="77777777" w:rsidR="00CB0174" w:rsidRPr="00CB0174" w:rsidRDefault="00CB0174" w:rsidP="00CB01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95B3B" w14:textId="5679B449" w:rsidR="007D123E" w:rsidRPr="007D123E" w:rsidRDefault="007D123E" w:rsidP="007D123E">
      <w:r>
        <w:rPr>
          <w:b/>
          <w:bCs/>
        </w:rPr>
        <w:t xml:space="preserve">       </w:t>
      </w:r>
      <w:r w:rsidRPr="007D123E">
        <w:rPr>
          <w:b/>
          <w:bCs/>
        </w:rPr>
        <w:t xml:space="preserve">Conclusion </w:t>
      </w:r>
      <w:r w:rsidRPr="007D123E">
        <w:t xml:space="preserve">The </w:t>
      </w:r>
      <w:proofErr w:type="spellStart"/>
      <w:r w:rsidRPr="007D123E">
        <w:t>NanoHub</w:t>
      </w:r>
      <w:proofErr w:type="spellEnd"/>
      <w:r w:rsidRPr="007D123E">
        <w:t xml:space="preserve"> simulation successfully demonstrates the electrical characteristics of a scaled MOSFET. </w:t>
      </w:r>
    </w:p>
    <w:p w14:paraId="395DD45B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Increasing the </w:t>
      </w:r>
      <w:r w:rsidRPr="007D123E">
        <w:rPr>
          <w:b/>
          <w:bCs/>
        </w:rPr>
        <w:t>gate voltage (VG)</w:t>
      </w:r>
      <w:r w:rsidRPr="007D123E">
        <w:t xml:space="preserve"> causes a significant increase in the </w:t>
      </w:r>
      <w:r w:rsidRPr="007D123E">
        <w:rPr>
          <w:b/>
          <w:bCs/>
        </w:rPr>
        <w:t>drain current (ID)</w:t>
      </w:r>
      <w:r w:rsidRPr="007D123E">
        <w:t xml:space="preserve"> due to stronger channel formation. </w:t>
      </w:r>
    </w:p>
    <w:p w14:paraId="5FA86C71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The drain current exhibits exponential </w:t>
      </w:r>
      <w:proofErr w:type="spellStart"/>
      <w:r w:rsidRPr="007D123E">
        <w:t>behavior</w:t>
      </w:r>
      <w:proofErr w:type="spellEnd"/>
      <w:r w:rsidRPr="007D123E">
        <w:t xml:space="preserve"> in the subthreshold region and increases rapidly after the threshold voltage is reached. </w:t>
      </w:r>
    </w:p>
    <w:p w14:paraId="5B550C88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Increasing the </w:t>
      </w:r>
      <w:r w:rsidRPr="007D123E">
        <w:rPr>
          <w:b/>
          <w:bCs/>
        </w:rPr>
        <w:t>drain voltage (VD)</w:t>
      </w:r>
      <w:r w:rsidRPr="007D123E">
        <w:t xml:space="preserve"> increases the drain current initially, after which it reaches the saturation region where the current remains nearly constant. </w:t>
      </w:r>
    </w:p>
    <w:p w14:paraId="68CEA34E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The simulation clearly distinguishes the </w:t>
      </w:r>
      <w:r w:rsidRPr="007D123E">
        <w:rPr>
          <w:b/>
          <w:bCs/>
        </w:rPr>
        <w:t>cut-off, linear, and saturation</w:t>
      </w:r>
      <w:r w:rsidRPr="007D123E">
        <w:t xml:space="preserve"> operating regions of the MOSFET</w:t>
      </w:r>
    </w:p>
    <w:p w14:paraId="5D6D6474" w14:textId="77777777" w:rsidR="00CB0174" w:rsidRDefault="00CB0174" w:rsidP="003705E7"/>
    <w:p w14:paraId="465D4274" w14:textId="77777777" w:rsidR="00CB2618" w:rsidRDefault="00CB2618" w:rsidP="003705E7"/>
    <w:p w14:paraId="12EE7354" w14:textId="77777777" w:rsidR="00CB2618" w:rsidRDefault="00CB2618" w:rsidP="003705E7"/>
    <w:p w14:paraId="6CDE4956" w14:textId="77777777" w:rsidR="00CB2618" w:rsidRDefault="00CB2618" w:rsidP="003705E7"/>
    <w:p w14:paraId="545F604E" w14:textId="77777777" w:rsidR="00CB2618" w:rsidRDefault="00CB2618" w:rsidP="003705E7"/>
    <w:p w14:paraId="1BF81EB3" w14:textId="6B8A2A7F" w:rsidR="00CB2618" w:rsidRPr="00FD3F40" w:rsidRDefault="00CB2618" w:rsidP="003705E7">
      <w:pPr>
        <w:rPr>
          <w:rFonts w:ascii="Times New Roman" w:hAnsi="Times New Roman" w:cs="Times New Roman"/>
          <w:sz w:val="28"/>
          <w:szCs w:val="28"/>
        </w:rPr>
      </w:pPr>
    </w:p>
    <w:sectPr w:rsidR="00CB2618" w:rsidRPr="00FD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65D"/>
    <w:multiLevelType w:val="multilevel"/>
    <w:tmpl w:val="61F6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7F41"/>
    <w:multiLevelType w:val="multilevel"/>
    <w:tmpl w:val="51CE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200B"/>
    <w:multiLevelType w:val="multilevel"/>
    <w:tmpl w:val="1F90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F02B8"/>
    <w:multiLevelType w:val="hybridMultilevel"/>
    <w:tmpl w:val="199C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4B6A"/>
    <w:multiLevelType w:val="multilevel"/>
    <w:tmpl w:val="E9DA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7338A"/>
    <w:multiLevelType w:val="multilevel"/>
    <w:tmpl w:val="F13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37E06"/>
    <w:multiLevelType w:val="multilevel"/>
    <w:tmpl w:val="0D9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86F24"/>
    <w:multiLevelType w:val="multilevel"/>
    <w:tmpl w:val="2CAA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60581">
    <w:abstractNumId w:val="0"/>
  </w:num>
  <w:num w:numId="2" w16cid:durableId="1132940551">
    <w:abstractNumId w:val="2"/>
  </w:num>
  <w:num w:numId="3" w16cid:durableId="1507358455">
    <w:abstractNumId w:val="5"/>
  </w:num>
  <w:num w:numId="4" w16cid:durableId="2089308329">
    <w:abstractNumId w:val="4"/>
  </w:num>
  <w:num w:numId="5" w16cid:durableId="207689349">
    <w:abstractNumId w:val="3"/>
  </w:num>
  <w:num w:numId="6" w16cid:durableId="123235263">
    <w:abstractNumId w:val="1"/>
  </w:num>
  <w:num w:numId="7" w16cid:durableId="1188374644">
    <w:abstractNumId w:val="7"/>
  </w:num>
  <w:num w:numId="8" w16cid:durableId="893203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40"/>
    <w:rsid w:val="00253AA3"/>
    <w:rsid w:val="003705E7"/>
    <w:rsid w:val="003F6381"/>
    <w:rsid w:val="004D3BA3"/>
    <w:rsid w:val="00623A99"/>
    <w:rsid w:val="007544AB"/>
    <w:rsid w:val="007A6036"/>
    <w:rsid w:val="007D123E"/>
    <w:rsid w:val="007D1F7F"/>
    <w:rsid w:val="00A253F7"/>
    <w:rsid w:val="00AB5A64"/>
    <w:rsid w:val="00AE53F8"/>
    <w:rsid w:val="00CB0174"/>
    <w:rsid w:val="00CB2618"/>
    <w:rsid w:val="00D908C8"/>
    <w:rsid w:val="00DC50B2"/>
    <w:rsid w:val="00F15F1F"/>
    <w:rsid w:val="00FB471E"/>
    <w:rsid w:val="00FD3F40"/>
    <w:rsid w:val="00FD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CDE1"/>
  <w15:chartTrackingRefBased/>
  <w15:docId w15:val="{FB3EE6CC-03DD-445E-979F-B4E2A6BE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44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pedanaboyina</dc:creator>
  <cp:keywords/>
  <dc:description/>
  <cp:lastModifiedBy>Raveendra Reddy P</cp:lastModifiedBy>
  <cp:revision>2</cp:revision>
  <dcterms:created xsi:type="dcterms:W3CDTF">2026-08-06T15:24:00Z</dcterms:created>
  <dcterms:modified xsi:type="dcterms:W3CDTF">2026-08-06T15:24:00Z</dcterms:modified>
</cp:coreProperties>
</file>