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cs="Times New Roman" w:eastAsia="Times New Roman"/>
          <w:b/>
          <w:i w:val="0"/>
          <w:sz w:val="28"/>
        </w:rPr>
        <w:t>Knowledge-Based Cost-Aware Decision Support for Credit Classification: Separating Model Selection from Decision Thresholds</w:t>
      </w:r>
    </w:p>
    <w:p>
      <w:pPr>
        <w:spacing w:line="480" w:lineRule="auto" w:before="120" w:after="0"/>
        <w:jc w:val="center"/>
      </w:pPr>
      <w:r>
        <w:rPr>
          <w:rFonts w:ascii="Times New Roman" w:hAnsi="Times New Roman" w:cs="Times New Roman" w:eastAsia="Times New Roman"/>
          <w:b w:val="0"/>
          <w:i w:val="0"/>
          <w:sz w:val="24"/>
        </w:rPr>
        <w:t>Short Communication</w:t>
      </w:r>
    </w:p>
    <w:p>
      <w:pPr>
        <w:spacing w:line="480" w:lineRule="auto" w:before="120" w:after="0"/>
        <w:jc w:val="center"/>
      </w:pPr>
      <w:r>
        <w:rPr>
          <w:rFonts w:ascii="Times New Roman" w:hAnsi="Times New Roman" w:cs="Times New Roman" w:eastAsia="Times New Roman"/>
          <w:b w:val="0"/>
          <w:i w:val="0"/>
          <w:sz w:val="24"/>
        </w:rPr>
        <w:t>Pravallika Nalluri</w:t>
      </w:r>
    </w:p>
    <w:p>
      <w:pPr>
        <w:spacing w:line="480" w:lineRule="auto" w:before="0" w:after="0"/>
        <w:jc w:val="center"/>
      </w:pPr>
      <w:r>
        <w:rPr>
          <w:rFonts w:ascii="Times New Roman" w:hAnsi="Times New Roman" w:cs="Times New Roman" w:eastAsia="Times New Roman"/>
          <w:b w:val="0"/>
          <w:i w:val="0"/>
          <w:sz w:val="24"/>
        </w:rPr>
        <w:t>Independent Researcher, USA</w:t>
      </w:r>
    </w:p>
    <w:p>
      <w:pPr>
        <w:spacing w:line="480" w:lineRule="auto" w:before="0" w:after="0"/>
        <w:jc w:val="center"/>
      </w:pPr>
      <w:r>
        <w:rPr>
          <w:rFonts w:ascii="Times New Roman" w:hAnsi="Times New Roman" w:cs="Times New Roman" w:eastAsia="Times New Roman"/>
          <w:b w:val="0"/>
          <w:i w:val="0"/>
          <w:sz w:val="24"/>
        </w:rPr>
        <w:t>Corresponding author. Email: pravallikanalluri9848@gmail.com</w:t>
      </w:r>
    </w:p>
    <w:p>
      <w:pPr>
        <w:keepNext/>
        <w:spacing w:line="480" w:lineRule="auto" w:before="240" w:after="0"/>
      </w:pPr>
      <w:r>
        <w:rPr>
          <w:rFonts w:ascii="Times New Roman" w:hAnsi="Times New Roman" w:cs="Times New Roman" w:eastAsia="Times New Roman"/>
          <w:b/>
          <w:i w:val="0"/>
          <w:color w:val="366091"/>
          <w:sz w:val="24"/>
        </w:rPr>
        <w:t>Abstract</w:t>
      </w:r>
    </w:p>
    <w:p>
      <w:pPr>
        <w:spacing w:line="480" w:lineRule="auto" w:before="0" w:after="0"/>
        <w:jc w:val="left"/>
      </w:pPr>
      <w:r>
        <w:rPr>
          <w:rFonts w:ascii="Times New Roman" w:hAnsi="Times New Roman" w:cs="Times New Roman" w:eastAsia="Times New Roman"/>
          <w:b w:val="0"/>
          <w:i w:val="0"/>
          <w:sz w:val="24"/>
        </w:rPr>
        <w:t>A predicted probability is not a credit decision. After the models are fit, this study separates which model to keep from which threshold turns its probability into an action. The knowledge is one false-negative cost ratio, fixed before any test account is scored. On the UCI credit-card default file (30,000 accounts; 6,636 defaults, 22.12%), four models were fit without class weights. Prediction-first selection kept histogram gradient boosting, the highest validation F1 at threshold 0.50 (0.4682), then tuned only its threshold. Decision-first selection searched every model and threshold for the lowest validation cost. Leaving 0.50 cut test cost from 0.7522 to 0.5762 at ratio 5, from 1.4605 to 0.7392 at ratio 10, and from 2.8772 to 0.7815 at ratio 20; those intervals excluded zero. At ratio 2 the threshold contrast was not statistically conclusive. Decision-first selection was cheaper at ratio 2 (relative difference 0.0406; interval 0.0050 to 0.0210). At ratios 5, 10, and 20 the strategy interval included zero. Across 20 splits (seeds 42 through 61) the mean gain from leaving 0.50 excluded zero at every ratio and exceeded the mean gap between the rules. The public file is not a startup portfolio.</w:t>
      </w:r>
    </w:p>
    <w:p>
      <w:pPr>
        <w:spacing w:line="480" w:lineRule="auto" w:before="120" w:after="0"/>
        <w:jc w:val="left"/>
      </w:pPr>
      <w:r>
        <w:rPr>
          <w:rFonts w:ascii="Times New Roman" w:hAnsi="Times New Roman" w:cs="Times New Roman" w:eastAsia="Times New Roman"/>
          <w:b/>
          <w:i w:val="0"/>
          <w:sz w:val="24"/>
        </w:rPr>
        <w:t xml:space="preserve">Keywords: </w:t>
      </w:r>
      <w:r>
        <w:rPr>
          <w:rFonts w:ascii="Times New Roman" w:hAnsi="Times New Roman" w:cs="Times New Roman" w:eastAsia="Times New Roman"/>
          <w:b w:val="0"/>
          <w:i w:val="0"/>
          <w:sz w:val="24"/>
        </w:rPr>
        <w:t>Cost-sensitive classification; Decision support; Decision threshold; Knowledge-based system; Credit scoring; Model selection</w:t>
      </w:r>
    </w:p>
    <w:p>
      <w:pPr>
        <w:keepNext/>
        <w:spacing w:line="480" w:lineRule="auto" w:before="240" w:after="0"/>
      </w:pPr>
      <w:r>
        <w:rPr>
          <w:rFonts w:ascii="Times New Roman" w:hAnsi="Times New Roman" w:cs="Times New Roman" w:eastAsia="Times New Roman"/>
          <w:b/>
          <w:i w:val="0"/>
          <w:color w:val="366091"/>
          <w:sz w:val="24"/>
        </w:rPr>
        <w:t>Highlights</w:t>
      </w:r>
    </w:p>
    <w:p>
      <w:pPr>
        <w:spacing w:line="480" w:lineRule="auto" w:before="0" w:after="0"/>
        <w:jc w:val="left"/>
      </w:pPr>
      <w:r>
        <w:rPr>
          <w:rFonts w:ascii="Times New Roman" w:hAnsi="Times New Roman" w:cs="Times New Roman" w:eastAsia="Times New Roman"/>
          <w:b w:val="0"/>
          <w:i w:val="0"/>
          <w:sz w:val="24"/>
        </w:rPr>
        <w:t>• Most of the cost saving comes from the threshold, not the model.</w:t>
      </w:r>
    </w:p>
    <w:p>
      <w:pPr>
        <w:spacing w:line="480" w:lineRule="auto" w:before="0" w:after="0"/>
        <w:jc w:val="left"/>
      </w:pPr>
      <w:r>
        <w:rPr>
          <w:rFonts w:ascii="Times New Roman" w:hAnsi="Times New Roman" w:cs="Times New Roman" w:eastAsia="Times New Roman"/>
          <w:b w:val="0"/>
          <w:i w:val="0"/>
          <w:sz w:val="24"/>
        </w:rPr>
        <w:t>• The cost ratio is explicit knowledge: the inspectable pair (r, t).</w:t>
      </w:r>
    </w:p>
    <w:p>
      <w:pPr>
        <w:spacing w:line="480" w:lineRule="auto" w:before="0" w:after="0"/>
        <w:jc w:val="left"/>
      </w:pPr>
      <w:r>
        <w:rPr>
          <w:rFonts w:ascii="Times New Roman" w:hAnsi="Times New Roman" w:cs="Times New Roman" w:eastAsia="Times New Roman"/>
          <w:b w:val="0"/>
          <w:i w:val="0"/>
          <w:sz w:val="24"/>
        </w:rPr>
        <w:t>• Leaving 0.50 cuts cost at ratios 5, 10, and 20 on every split.</w:t>
      </w:r>
    </w:p>
    <w:p>
      <w:pPr>
        <w:spacing w:line="480" w:lineRule="auto" w:before="0" w:after="0"/>
        <w:jc w:val="left"/>
      </w:pPr>
      <w:r>
        <w:rPr>
          <w:rFonts w:ascii="Times New Roman" w:hAnsi="Times New Roman" w:cs="Times New Roman" w:eastAsia="Times New Roman"/>
          <w:b w:val="0"/>
          <w:i w:val="0"/>
          <w:sz w:val="24"/>
        </w:rPr>
        <w:t>• Seed-42 strategy gap excludes zero only at cost ratio 2.</w:t>
      </w:r>
    </w:p>
    <w:p>
      <w:pPr>
        <w:spacing w:line="480" w:lineRule="auto" w:before="0" w:after="0"/>
        <w:jc w:val="left"/>
      </w:pPr>
      <w:r>
        <w:rPr>
          <w:rFonts w:ascii="Times New Roman" w:hAnsi="Times New Roman" w:cs="Times New Roman" w:eastAsia="Times New Roman"/>
          <w:b w:val="0"/>
          <w:i w:val="0"/>
          <w:sz w:val="24"/>
        </w:rPr>
        <w:t>• At ratio 20, 0.009 does not lower the seed-42 test cost.</w:t>
      </w:r>
    </w:p>
    <w:p>
      <w:pPr>
        <w:keepNext/>
        <w:spacing w:line="480" w:lineRule="auto" w:before="240" w:after="0"/>
      </w:pPr>
      <w:r>
        <w:rPr>
          <w:rFonts w:ascii="Times New Roman" w:hAnsi="Times New Roman" w:cs="Times New Roman" w:eastAsia="Times New Roman"/>
          <w:b/>
          <w:i w:val="0"/>
          <w:color w:val="366091"/>
          <w:sz w:val="24"/>
        </w:rPr>
        <w:t>1. Introduction</w:t>
      </w:r>
    </w:p>
    <w:p>
      <w:pPr>
        <w:spacing w:line="480" w:lineRule="auto" w:before="0" w:after="0"/>
        <w:jc w:val="left"/>
      </w:pPr>
      <w:r>
        <w:rPr>
          <w:rFonts w:ascii="Times New Roman" w:hAnsi="Times New Roman" w:cs="Times New Roman" w:eastAsia="Times New Roman"/>
          <w:b w:val="0"/>
          <w:i w:val="0"/>
          <w:sz w:val="24"/>
        </w:rPr>
        <w:t>A probability of default is not a credit decision. Accuracy comparisons, cost-sensitive training, class-imbalance corrections, and profit-driven scoring are already a large literature [1–24]. Less attention has been given to two choices made after the fit: which model to keep, and which threshold turns its probability into an action under a stated cost ratio. This short communication does not add another accuracy contest. It asks whether the cost saving comes from choosing a different model, or from changing the threshold of a model already chosen.</w:t>
      </w:r>
    </w:p>
    <w:p>
      <w:pPr>
        <w:spacing w:line="480" w:lineRule="auto" w:before="0" w:after="0"/>
        <w:jc w:val="left"/>
      </w:pPr>
      <w:r>
        <w:rPr>
          <w:rFonts w:ascii="Times New Roman" w:hAnsi="Times New Roman" w:cs="Times New Roman" w:eastAsia="Times New Roman"/>
          <w:b w:val="0"/>
          <w:i w:val="0"/>
          <w:sz w:val="24"/>
        </w:rPr>
        <w:t>Prediction-first selection fixes the model by validation F1 at threshold 0.50, then tunes only the threshold. Decision-first selection chooses the model and the threshold together by validation cost, and the test set is scored only after both rules are locked. In this study the knowledge component is deliberately compact: an externally specified asymmetric cost preference is an explicit decision rule rather than learned inside the classifier, and the inspectable object is the pair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The contribution is Eq. (1), the two rules in Eqs. (2) and (3), and the same lock on 20 stratified splits of the public Default of Credit Card Clients file [25,26]. Decision-first selection is not claimed to be uniformly superior.</w:t>
      </w:r>
    </w:p>
    <w:p>
      <w:pPr>
        <w:keepNext/>
        <w:spacing w:line="480" w:lineRule="auto" w:before="240" w:after="0"/>
      </w:pPr>
      <w:r>
        <w:rPr>
          <w:rFonts w:ascii="Times New Roman" w:hAnsi="Times New Roman" w:cs="Times New Roman" w:eastAsia="Times New Roman"/>
          <w:b/>
          <w:i w:val="0"/>
          <w:color w:val="366091"/>
          <w:sz w:val="24"/>
        </w:rPr>
        <w:t>2. Decision framework</w:t>
      </w:r>
    </w:p>
    <w:p>
      <w:pPr>
        <w:spacing w:line="480" w:lineRule="auto" w:before="0" w:after="0"/>
        <w:jc w:val="left"/>
      </w:pPr>
      <w:r>
        <w:rPr>
          <w:rFonts w:ascii="Times New Roman" w:hAnsi="Times New Roman" w:cs="Times New Roman" w:eastAsia="Times New Roman"/>
          <w:b w:val="0"/>
          <w:i w:val="0"/>
          <w:sz w:val="24"/>
        </w:rPr>
        <w:t xml:space="preserve">The positive class is default payment next month. A model emits a probability, and the decision predicts default when that probability is at least a threshold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A false positive is a predicted default that does not occur. A false negative is a missed default. With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rPr>
        <w:t xml:space="preserve"> cases in the split being scored, the normalized cost per case at false-negative ratio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w:t>
      </w:r>
    </w:p>
    <w:p>
      <w:pPr>
        <w:keepLines/>
        <w:spacing w:line="480" w:lineRule="auto" w:before="0" w:after="0"/>
        <w:jc w:val="center"/>
      </w:pPr>
      <w:r>
        <w:rPr>
          <w:rFonts w:ascii="Times New Roman" w:hAnsi="Times New Roman" w:cs="Times New Roman" w:eastAsia="Times New Roman"/>
          <w:b w:val="0"/>
          <w:i/>
          <w:sz w:val="24"/>
        </w:rPr>
        <w:t>c</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 · FP +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FN) /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rPr>
        <w:t xml:space="preserve">          (1)</w:t>
      </w:r>
    </w:p>
    <w:p>
      <w:pPr>
        <w:spacing w:line="480" w:lineRule="auto" w:before="0" w:after="0"/>
        <w:jc w:val="left"/>
      </w:pPr>
      <w:r>
        <w:rPr>
          <w:rFonts w:ascii="Times New Roman" w:hAnsi="Times New Roman" w:cs="Times New Roman" w:eastAsia="Times New Roman"/>
          <w:b w:val="0"/>
          <w:i w:val="0"/>
          <w:sz w:val="24"/>
        </w:rPr>
        <w:t xml:space="preserve">The ratio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a scenario weight, not an estimated monetary loss. The values used here are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5, 10, 20}. If a score is treated as a probability, Eq. (1) is minimized at the reference threshold 1/(1+</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0.33, 0.17, 0.09, and 0.05. The grid search does not impose that formula. The threshold grid is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 {0.01, 0.02, …, 0.99}. The models supply probabilities. They do not contain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The lender states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and the grid turns it into an action.</w:t>
      </w:r>
    </w:p>
    <w:p>
      <w:pPr>
        <w:spacing w:line="480" w:lineRule="auto" w:before="0" w:after="0"/>
        <w:jc w:val="left"/>
      </w:pPr>
      <w:r>
        <w:rPr>
          <w:rFonts w:ascii="Times New Roman" w:hAnsi="Times New Roman" w:cs="Times New Roman" w:eastAsia="Times New Roman"/>
          <w:b w:val="0"/>
          <w:i w:val="0"/>
          <w:sz w:val="24"/>
        </w:rPr>
        <w:t xml:space="preserve">Let </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index the candidate models, and let F1</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 xml:space="preserve"> be the positive-class F1 on the validation split. Prediction-first selection fixes one model, then one threshold for each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w:t>
      </w:r>
    </w:p>
    <w:p>
      <w:pPr>
        <w:keepLines/>
        <w:spacing w:line="480" w:lineRule="auto" w:before="0" w:after="0"/>
        <w:jc w:val="center"/>
      </w:pP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 arg max</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F1</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0.50),</w:t>
      </w:r>
    </w:p>
    <w:p>
      <w:pPr>
        <w:keepLines/>
        <w:spacing w:line="480" w:lineRule="auto" w:before="0" w:after="0"/>
        <w:jc w:val="center"/>
      </w:pPr>
      <w:r>
        <w:rPr>
          <w:rFonts w:ascii="Times New Roman" w:hAnsi="Times New Roman" w:cs="Times New Roman" w:eastAsia="Times New Roman"/>
          <w:b w:val="0"/>
          <w:i/>
          <w:sz w:val="24"/>
        </w:rPr>
        <w:t>t</w:t>
      </w:r>
      <w:r>
        <w:rPr>
          <w:rFonts w:ascii="Times New Roman" w:hAnsi="Times New Roman" w:cs="Times New Roman" w:eastAsia="Times New Roman"/>
          <w:b w:val="0"/>
          <w:i/>
          <w:sz w:val="24"/>
        </w:rPr>
        <w:t>A</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 arg min</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(2)</w:t>
      </w:r>
    </w:p>
    <w:p>
      <w:pPr>
        <w:spacing w:line="480" w:lineRule="auto" w:before="0" w:after="0"/>
        <w:jc w:val="left"/>
      </w:pPr>
      <w:r>
        <w:rPr>
          <w:rFonts w:ascii="Times New Roman" w:hAnsi="Times New Roman" w:cs="Times New Roman" w:eastAsia="Times New Roman"/>
          <w:b w:val="0"/>
          <w:i w:val="0"/>
          <w:sz w:val="24"/>
        </w:rPr>
        <w:t xml:space="preserve">F1 at 0.50 is a different objective from the cost minimized in the second line, so the model is chosen under one rule and then operated under another. If several models share the highest validation F1 at 0.50, the tie is broken by the lower validation cost at that same threshold for the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under consideration, then by model name in alphabetical order. The threshold tie is broken by higher validation F1, then by the lower threshold.</w:t>
      </w:r>
    </w:p>
    <w:p>
      <w:pPr>
        <w:spacing w:line="480" w:lineRule="auto" w:before="0" w:after="0"/>
        <w:jc w:val="left"/>
      </w:pPr>
      <w:r>
        <w:rPr>
          <w:rFonts w:ascii="Times New Roman" w:hAnsi="Times New Roman" w:cs="Times New Roman" w:eastAsia="Times New Roman"/>
          <w:b w:val="0"/>
          <w:i w:val="0"/>
          <w:sz w:val="24"/>
        </w:rPr>
        <w:t>Decision-first selection searches the pairs directly:</w:t>
      </w:r>
    </w:p>
    <w:p>
      <w:pPr>
        <w:keepLines/>
        <w:spacing w:line="480" w:lineRule="auto" w:before="0" w:after="0"/>
        <w:jc w:val="center"/>
      </w:pP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sz w:val="24"/>
        </w:rPr>
        <w:t>B</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sz w:val="24"/>
        </w:rPr>
        <w:t>B</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 arg min</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(3)</w:t>
      </w:r>
    </w:p>
    <w:p>
      <w:pPr>
        <w:spacing w:line="480" w:lineRule="auto" w:before="0" w:after="0"/>
        <w:jc w:val="left"/>
      </w:pPr>
      <w:r>
        <w:rPr>
          <w:rFonts w:ascii="Times New Roman" w:hAnsi="Times New Roman" w:cs="Times New Roman" w:eastAsia="Times New Roman"/>
          <w:b w:val="0"/>
          <w:i w:val="0"/>
          <w:sz w:val="24"/>
        </w:rPr>
        <w:t>Ties are broken by higher validation F1 at that threshold, then by model name, then by the lower threshold. Class imbalance is not handled with class weights. The grid search is the mechanism that carries both the base rate and the cost ratio. Neither rule may use the test split.</w:t>
      </w:r>
    </w:p>
    <w:p>
      <w:pPr>
        <w:keepNext/>
        <w:spacing w:line="480" w:lineRule="auto" w:before="240" w:after="0"/>
      </w:pPr>
      <w:r>
        <w:rPr>
          <w:rFonts w:ascii="Times New Roman" w:hAnsi="Times New Roman" w:cs="Times New Roman" w:eastAsia="Times New Roman"/>
          <w:b/>
          <w:i w:val="0"/>
          <w:color w:val="366091"/>
          <w:sz w:val="24"/>
        </w:rPr>
        <w:t>3. Experimental design</w:t>
      </w:r>
    </w:p>
    <w:p>
      <w:pPr>
        <w:spacing w:line="480" w:lineRule="auto" w:before="0" w:after="0"/>
        <w:jc w:val="left"/>
      </w:pPr>
      <w:r>
        <w:rPr>
          <w:rFonts w:ascii="Times New Roman" w:hAnsi="Times New Roman" w:cs="Times New Roman" w:eastAsia="Times New Roman"/>
          <w:b w:val="0"/>
          <w:i w:val="0"/>
          <w:sz w:val="24"/>
        </w:rPr>
        <w:t>The source file is the UCI Default of Credit Card Clients workbook [25,26]. It has 30,000 accounts and 6,636 defaults (22.12%). The same file is still used for predictive comparisons [27]. The identifier column is dropped. The public file contains SEX. Algorithmic bias in credit scoring support systems is an active design problem [28]. SEX is removed before the split because a credit decision policy should not use sex, and this study does not estimate a sex effect. Excluding SEX blocks its direct use. It does not establish algorithmic fairness, because other predictors may carry proxy information. A formal fairness assessment is outside this study. The other 22 predictors are kept as the numeric codes in the file, including education, marriage, age, recent repayment status, bill amounts, and payment amounts.</w:t>
      </w:r>
    </w:p>
    <w:p>
      <w:pPr>
        <w:spacing w:line="480" w:lineRule="auto" w:before="0" w:after="0"/>
        <w:jc w:val="left"/>
      </w:pPr>
      <w:r>
        <w:rPr>
          <w:rFonts w:ascii="Times New Roman" w:hAnsi="Times New Roman" w:cs="Times New Roman" w:eastAsia="Times New Roman"/>
          <w:b w:val="0"/>
          <w:i w:val="0"/>
          <w:sz w:val="24"/>
        </w:rPr>
        <w:t>The split and the bootstrap each use seed 42. The split is stratified. It holds out 6,000 test accounts and then holds out 6,000 validation accounts, leaving 18,000 training accounts. Models are fit only on the training accounts. Selection uses only the validation accounts. Test probabilities are computed after every model and threshold has been chosen.</w:t>
      </w:r>
    </w:p>
    <w:p>
      <w:pPr>
        <w:spacing w:line="480" w:lineRule="auto" w:before="0" w:after="0"/>
        <w:jc w:val="left"/>
      </w:pPr>
      <w:r>
        <w:rPr>
          <w:rFonts w:ascii="Times New Roman" w:hAnsi="Times New Roman" w:cs="Times New Roman" w:eastAsia="Times New Roman"/>
          <w:b w:val="0"/>
          <w:i w:val="0"/>
          <w:sz w:val="24"/>
        </w:rPr>
        <w:t xml:space="preserve">Four models produce probabilities, with random seed 42 wherever the implementation accepts one, and with no class weight. A logistic regression uses </w:t>
      </w:r>
      <w:r>
        <w:rPr>
          <w:rFonts w:ascii="Times New Roman" w:hAnsi="Times New Roman" w:cs="Times New Roman" w:eastAsia="Times New Roman"/>
          <w:b w:val="0"/>
          <w:i/>
          <w:sz w:val="24"/>
        </w:rPr>
        <w:t>C</w:t>
      </w:r>
      <w:r>
        <w:rPr>
          <w:rFonts w:ascii="Times New Roman" w:hAnsi="Times New Roman" w:cs="Times New Roman" w:eastAsia="Times New Roman"/>
          <w:b w:val="0"/>
          <w:i w:val="0"/>
          <w:sz w:val="24"/>
        </w:rPr>
        <w:t xml:space="preserve"> = 1, after a standardizer, with the library's default L2 penalty. The other models are a random forest (200 trees, depth 10, minimum leaf size 5), histogram gradient boosting (200 iterations, depth 6, learning rate 0.1), and XGBoost (200 trees, depth 5, learning rate 0.1). Thresholds run from 0.01 to 0.99 in steps of 0.01. The decision predicts default when the probability is at least the threshold. Validation Brier scores, which did not enter selection, were 0.1456 for logistic regression, 0.1342 for the random forest, 0.1368 for histogram gradient boosting, and 0.1356 for XGBoost. The four scores lie in a narrow band. That is not a formal calibration proof. For ratio 20 only, a sensitivity repeats the validation search on thresholds 0.001 to 0.009 in steps of 0.001 and keeps the lower validation cost. The primary tables stay on the original grid.</w:t>
      </w:r>
    </w:p>
    <w:p>
      <w:pPr>
        <w:spacing w:line="480" w:lineRule="auto" w:before="0" w:after="0"/>
        <w:jc w:val="left"/>
      </w:pPr>
      <w:r>
        <w:rPr>
          <w:rFonts w:ascii="Times New Roman" w:hAnsi="Times New Roman" w:cs="Times New Roman" w:eastAsia="Times New Roman"/>
          <w:b w:val="0"/>
          <w:i w:val="0"/>
          <w:sz w:val="24"/>
        </w:rPr>
        <w:t>Uncertainty is a paired bootstrap of the test accounts: 1,000 resamples, percentile interval from 2.5 to 97.5, seed 42. The same resamples are used for every contrast. The procedure does not refit models and does not rerun selection, so the interval is conditional on the locked rules. It asks whether the test-cost gap is stable to resampling of this test set. The reported contrasts are the strategy difference, test cost of A minus test cost of B, and, for the prediction-first model only, test cost at threshold 0.50 minus test cost at the tuned threshold. A positive strategy difference means decision-first selection has the lower test cost. The relative difference is that gap divided by the prediction-first test cost. If an interval includes zero, the difference is not statistically conclusive. Seeds 42 through 61 repeat the same stratified sizes, 20 splits in total, with the model random seed held at 42. The minimum, median, and maximum across those splits are a stability range. They are not a confidence interval. A separate percentile bootstrap, also 1,000 resamples and seed 42, intervals the mean of the 20 split-level differences. That interval describes these partitions of this file. It is not the seed-42 test-set bootstrap.</w:t>
      </w:r>
    </w:p>
    <w:p>
      <w:pPr>
        <w:keepNext/>
        <w:spacing w:line="480" w:lineRule="auto" w:before="240" w:after="0"/>
      </w:pPr>
      <w:r>
        <w:rPr>
          <w:rFonts w:ascii="Times New Roman" w:hAnsi="Times New Roman" w:cs="Times New Roman" w:eastAsia="Times New Roman"/>
          <w:b/>
          <w:i w:val="0"/>
          <w:color w:val="366091"/>
          <w:sz w:val="24"/>
        </w:rPr>
        <w:t>4. Results</w:t>
      </w:r>
    </w:p>
    <w:p>
      <w:pPr>
        <w:spacing w:line="480" w:lineRule="auto" w:before="0" w:after="0"/>
        <w:jc w:val="left"/>
      </w:pPr>
      <w:r>
        <w:rPr>
          <w:rFonts w:ascii="Times New Roman" w:hAnsi="Times New Roman" w:cs="Times New Roman" w:eastAsia="Times New Roman"/>
          <w:b w:val="0"/>
          <w:i w:val="0"/>
          <w:sz w:val="24"/>
        </w:rPr>
        <w:t xml:space="preserve">Table 1 is the validation lock. Validation F1 at threshold 0.50 selected histogram gradient boosting. Its F1 was higher than that of the random forest, XGBoost, and logistic regression, and the four values were distinct, so the cost tie-break was not used. On this split the prediction-first model is therefore fixed for every cost ratio. As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increases, the chosen threshold falls. For histogram gradient boosting the validation thresholds are 0.31, 0.16, 0.09, and 0.01. The last of these is the bottom of the grid, so the search could not move lower. That edge is also selected on 6 of the 20 splits. Decision-first selection chooses the random forest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and XGBoost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w:t>
      </w:r>
    </w:p>
    <w:p>
      <w:pPr>
        <w:keepNext/>
        <w:spacing w:line="480" w:lineRule="auto" w:before="200" w:after="0"/>
      </w:pPr>
      <w:r>
        <w:rPr>
          <w:rFonts w:ascii="Times New Roman" w:hAnsi="Times New Roman" w:cs="Times New Roman" w:eastAsia="Times New Roman"/>
          <w:b/>
          <w:i w:val="0"/>
          <w:sz w:val="24"/>
        </w:rPr>
        <w:t xml:space="preserve">Table 1. </w:t>
      </w:r>
      <w:r>
        <w:rPr>
          <w:rFonts w:ascii="Times New Roman" w:hAnsi="Times New Roman" w:cs="Times New Roman" w:eastAsia="Times New Roman"/>
          <w:b w:val="0"/>
          <w:i w:val="0"/>
          <w:sz w:val="24"/>
        </w:rPr>
        <w:t>Validation choice for each false-negative cost ratio. Cost is Eq. (1) on the validation split. F1 is the positive-class F1 at the chosen threshold.</w:t>
      </w:r>
    </w:p>
    <w:tbl>
      <w:tblPr>
        <w:tblW w:type="dxa" w:w="10080"/>
        <w:jc w:val="center"/>
        <w:tblLayout w:type="fixed"/>
        <w:tblLook w:firstColumn="1" w:firstRow="1" w:lastColumn="0" w:lastRow="0" w:noHBand="0" w:noVBand="1" w:val="04A0"/>
      </w:tblPr>
      <w:tblGrid>
        <w:gridCol w:w="1007"/>
        <w:gridCol w:w="1296"/>
        <w:gridCol w:w="2160"/>
        <w:gridCol w:w="1655"/>
        <w:gridCol w:w="1800"/>
        <w:gridCol w:w="2160"/>
      </w:tblGrid>
      <w:tr>
        <w:tc>
          <w:tcPr>
            <w:tcW w:type="dxa" w:w="1007"/>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r</w:t>
            </w:r>
          </w:p>
        </w:tc>
        <w:tc>
          <w:tcPr>
            <w:tcW w:type="dxa" w:w="1296"/>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Strategy</w:t>
            </w:r>
          </w:p>
        </w:tc>
        <w:tc>
          <w:tcPr>
            <w:tcW w:type="dxa" w:w="216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left"/>
            </w:pPr>
            <w:r/>
            <w:r>
              <w:rPr>
                <w:rFonts w:ascii="Times New Roman" w:hAnsi="Times New Roman" w:cs="Times New Roman" w:eastAsia="Times New Roman"/>
                <w:b/>
                <w:i w:val="0"/>
                <w:sz w:val="20"/>
              </w:rPr>
              <w:t>Model</w:t>
            </w:r>
          </w:p>
        </w:tc>
        <w:tc>
          <w:tcPr>
            <w:tcW w:type="dxa" w:w="1655"/>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Threshold</w:t>
            </w:r>
          </w:p>
        </w:tc>
        <w:tc>
          <w:tcPr>
            <w:tcW w:type="dxa" w:w="180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Val. cost</w:t>
            </w:r>
          </w:p>
        </w:tc>
        <w:tc>
          <w:tcPr>
            <w:tcW w:type="dxa" w:w="216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Val. F1</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0.3075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0.5343</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0.2975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0.5502</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0.5485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0.5050</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0.5318</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0.5126</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0.09</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0.7065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0.4414</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0.6982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0.4259</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0.01</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0.7728</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0.3656</w:t>
            </w:r>
          </w:p>
        </w:tc>
      </w:tr>
      <w:tr>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0.06</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0.7645</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0.3738</w:t>
            </w:r>
          </w:p>
        </w:tc>
      </w:tr>
    </w:tbl>
    <w:p>
      <w:pPr>
        <w:spacing w:line="480" w:lineRule="auto" w:before="0" w:after="0"/>
        <w:jc w:val="left"/>
      </w:pPr>
      <w:r>
        <w:rPr>
          <w:rFonts w:ascii="Times New Roman" w:hAnsi="Times New Roman" w:cs="Times New Roman" w:eastAsia="Times New Roman"/>
          <w:b w:val="0"/>
          <w:i w:val="0"/>
          <w:sz w:val="20"/>
        </w:rPr>
        <w:t xml:space="preserve">Strategy A uses one model for every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selected by validation F1 at threshold 0.50: logistic regression 0.3694; random forest 0.4658; histogram GB 0.4682; XGBoost 0.4598. The F1 values were distinct, so the cost tie-break was not used. Strategy B minimizes validation cost over models and thresholds. Histogram GB denotes histogram gradient boosting.</w:t>
      </w:r>
    </w:p>
    <w:p>
      <w:pPr>
        <w:spacing w:line="480" w:lineRule="auto" w:before="0" w:after="0"/>
        <w:jc w:val="left"/>
      </w:pPr>
      <w:r>
        <w:rPr>
          <w:rFonts w:ascii="Times New Roman" w:hAnsi="Times New Roman" w:cs="Times New Roman" w:eastAsia="Times New Roman"/>
          <w:b w:val="0"/>
          <w:i w:val="0"/>
          <w:sz w:val="24"/>
        </w:rPr>
        <w:t xml:space="preserve">The larger change is the threshold, not the selector (Table 2 and Figure 2). For the prediction-first model, test cost at threshold 0.50 versus the tuned threshold moves from 0.3272 to 0.3163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from 0.7522 to 0.5762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from 1.4605 to 0.7392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from 2.8772 to 0.7815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seed-42 interval includes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so that difference is not statistically conclusive, and excludes zero at the three higher ratios. The strategy gap is smaller.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decision-first selection reaches test cost 0.3035 and prediction-first selection reaches 0.3163. The relative difference is 0.0406. The 95% interval for the cost difference is 0.0050 to 0.0210 and excludes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the prediction-first cost is slightly lower (0.5762 versus 0.5788; relative difference −0.0046). The interval includes zero, and the difference is not statistically conclusive.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point estimates favor decision-first selection (relative differences 0.0401 and 0.0077), but both intervals include zero. Those differences are not statistically conclusive. Decision-first selection is therefore not uniformly cheaper on this file.</w:t>
      </w:r>
    </w:p>
    <w:p>
      <w:pPr>
        <w:keepNext/>
        <w:spacing w:line="480" w:lineRule="auto" w:before="200" w:after="0"/>
      </w:pPr>
      <w:r>
        <w:rPr>
          <w:rFonts w:ascii="Times New Roman" w:hAnsi="Times New Roman" w:cs="Times New Roman" w:eastAsia="Times New Roman"/>
          <w:b/>
          <w:i w:val="0"/>
          <w:sz w:val="24"/>
        </w:rPr>
        <w:t xml:space="preserve">Table 2. </w:t>
      </w:r>
      <w:r>
        <w:rPr>
          <w:rFonts w:ascii="Times New Roman" w:hAnsi="Times New Roman" w:cs="Times New Roman" w:eastAsia="Times New Roman"/>
          <w:b w:val="0"/>
          <w:i w:val="0"/>
          <w:sz w:val="24"/>
        </w:rPr>
        <w:t>Test cost per case after selection was locked. A positive value of (A−B)/A means strategy B has the lower test cost. The 95% interval is a paired percentile bootstrap of the test-cost difference A−B. It does not refit the models.</w:t>
      </w:r>
    </w:p>
    <w:tbl>
      <w:tblPr>
        <w:tblW w:type="dxa" w:w="10080"/>
        <w:jc w:val="center"/>
        <w:tblLayout w:type="fixed"/>
        <w:tblLook w:firstColumn="1" w:firstRow="1" w:lastColumn="0" w:lastRow="0" w:noHBand="0" w:noVBand="1" w:val="04A0"/>
      </w:tblPr>
      <w:tblGrid>
        <w:gridCol w:w="1007"/>
        <w:gridCol w:w="1368"/>
        <w:gridCol w:w="2304"/>
        <w:gridCol w:w="1728"/>
        <w:gridCol w:w="3671"/>
      </w:tblGrid>
      <w:tr>
        <w:tc>
          <w:tcPr>
            <w:tcW w:type="dxa" w:w="1007"/>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r</w:t>
            </w:r>
          </w:p>
        </w:tc>
        <w:tc>
          <w:tcPr>
            <w:tcW w:type="dxa" w:w="1368"/>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Strategy</w:t>
            </w:r>
          </w:p>
        </w:tc>
        <w:tc>
          <w:tcPr>
            <w:tcW w:type="dxa" w:w="2304"/>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left"/>
            </w:pPr>
            <w:r/>
            <w:r>
              <w:rPr>
                <w:rFonts w:ascii="Times New Roman" w:hAnsi="Times New Roman" w:cs="Times New Roman" w:eastAsia="Times New Roman"/>
                <w:b/>
                <w:i w:val="0"/>
                <w:sz w:val="20"/>
              </w:rPr>
              <w:t>Model</w:t>
            </w:r>
          </w:p>
        </w:tc>
        <w:tc>
          <w:tcPr>
            <w:tcW w:type="dxa" w:w="1728"/>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Threshold</w:t>
            </w:r>
          </w:p>
        </w:tc>
        <w:tc>
          <w:tcPr>
            <w:tcW w:type="dxa" w:w="3671"/>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Test cost</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0.3163</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0.3035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0.0406. Cost difference A−B = 0.0128, 95% CI [0.0050, 0.0210], includes zero: no.</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728"/>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0.5762</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0.5788</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−0.0046. Cost difference A−B = −0.0027, 95% CI [−0.0202, 0.0147], includes zero: yes.</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0.09</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0.7392</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0.7095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0.0401. Cost difference A−B = 0.0297, 95% CI [−0.0023, 0.0655], includes zero: yes.</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0.01</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0.7815</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0.06</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0.7755</w:t>
            </w:r>
          </w:p>
        </w:tc>
      </w:tr>
      <w:tr>
        <w:tc>
          <w:tcPr>
            <w:tcW w:type="dxa" w:w="10080"/>
            <w:gridSpan w:val="5"/>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left"/>
            </w:pPr>
            <w:r/>
            <w:r>
              <w:rPr>
                <w:rFonts w:ascii="Times New Roman" w:hAnsi="Times New Roman" w:cs="Times New Roman" w:eastAsia="Times New Roman"/>
                <w:b w:val="0"/>
                <w:i w:val="0"/>
                <w:sz w:val="18"/>
              </w:rPr>
              <w:t>(A−B)/A = 0.0077. Cost difference A−B = 0.0060, 95% CI [−0.0168, 0.0272], includes zero: yes.</w:t>
            </w:r>
          </w:p>
        </w:tc>
      </w:tr>
    </w:tbl>
    <w:p>
      <w:pPr>
        <w:spacing w:line="480" w:lineRule="auto" w:before="0" w:after="0"/>
        <w:jc w:val="left"/>
      </w:pPr>
      <w:r>
        <w:rPr>
          <w:rFonts w:ascii="Times New Roman" w:hAnsi="Times New Roman" w:cs="Times New Roman" w:eastAsia="Times New Roman"/>
          <w:b w:val="0"/>
          <w:i w:val="0"/>
          <w:sz w:val="20"/>
        </w:rPr>
        <w:t xml:space="preserve">For the prediction-first model (histogram GB), test cost at threshold 0.50 versus the cost-tuned threshold: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0.3272 versus 0.3163;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0.7522 versus 0.5762;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1.4605 versus 0.7392;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2.8772 versus 0.7815. Paired bootstrap 95% CIs for (cost at 0.50 minus cost at the tuned threshold) are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[−0.0008, 0.0227], includes zero: yes;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[0.1370, 0.2147],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[0.6297, 0.8035],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[1.9144, 2.2858], includes zero: no. Across seeds 42 through 61 (20 splits), prediction-first test cost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0.2917, 0.3052, 0.3175;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0.5253, 0.5617, 0.5762;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0.6668, 0.7163, 0.7472;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0.7673, 0.7792, 0.8660. Cost at threshold 0.50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0.3122, 0.3196, 0.3300;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0.7212, 0.7372, 0.7655;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1.4002, 1.4343, 1.4913;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2.7552, 2.8276, 2.9430. Decision-first test cost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0.2930, 0.3035, 0.3143;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0.5435, 0.5581, 0.5880;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0.6625, 0.7038, 0.7457;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0.7523, 0.7654, 0.7965. Tuned cost was lower on 19 of 20 splits at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and on 20 of 20 splits at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and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Decision-first test cost was strictly lower on 13, 7, 13, and 17 of 20 splits. These ranges are not a confidence interval.</w:t>
      </w:r>
    </w:p>
    <w:p>
      <w:pPr>
        <w:spacing w:line="480" w:lineRule="auto" w:before="0" w:after="0"/>
        <w:jc w:val="left"/>
      </w:pPr>
      <w:r>
        <w:rPr>
          <w:rFonts w:ascii="Times New Roman" w:hAnsi="Times New Roman" w:cs="Times New Roman" w:eastAsia="Times New Roman"/>
          <w:b w:val="0"/>
          <w:i w:val="0"/>
          <w:sz w:val="24"/>
        </w:rPr>
        <w:t>The chosen thresholds sit beside the reference 1/(1+</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at the first three ratios: 0.31 and 0.30 against 0.33, 0.16 and 0.16 against 0.17, and 0.09 and 0.10 against 0.09.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reference is 0.05, but prediction-first selection stops at 0.01, the bottom of the primary grid, which is also selected on 6 of the 20 splits. On the added grid from 0.001 to 0.009, the seed-42 search moves that rule from 0.01 to 0.009 (validation cost 0.7718, against 0.7728). The test cost is 0.7835, against 0.7815 at 0.01, so the extra step does not lower test cost. Prediction-first selection moves below 0.01 on 9 of the 20 splits. Decision-first selection stays at 0.06 on the seed-42 split and moves below 0.01 on 1 of the 20 splits.</w:t>
      </w:r>
    </w:p>
    <w:p>
      <w:pPr>
        <w:spacing w:line="480" w:lineRule="auto" w:before="0" w:after="0"/>
        <w:jc w:val="left"/>
      </w:pPr>
      <w:r>
        <w:rPr>
          <w:rFonts w:ascii="Times New Roman" w:hAnsi="Times New Roman" w:cs="Times New Roman" w:eastAsia="Times New Roman"/>
          <w:b w:val="0"/>
          <w:i w:val="0"/>
          <w:sz w:val="24"/>
        </w:rPr>
        <w:t xml:space="preserve">Across seeds 42 through 61, the prediction-first model was histogram gradient boosting on 12 splits, XGBoost on 6, and the random forest on 2. No split used the cost tie-break. Prediction-first thresholds ranged from 0.30 to 0.38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0.13 to 0.22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0.05 to 0.10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0.01 to 0.08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Decision-first selection chose the random forest on 18, 12, 17, and 18 of the 20 splits. Prediction-first test cost was strictly lower on 5, 10, 4, and 1 of the 20 splits, with 2, 3, 3, and 2 ties. The mean gain from leaving threshold 0.50 was 0.0145, 0.1797, 0.7184, and 2.0446, with intervals [0.0118, 0.0170], [0.1739, 0.1852], [0.7043, 0.7324], and [2.0173, 2.0735]. None included zero. The mean strategy gap, prediction-first cost minus decision-first cost, was 0.0028, −0.0006, 0.0157, and 0.0196, with intervals [0.0013, 0.0047], [−0.0055, 0.0040], [0.0083, 0.0242], and [0.0110, 0.0297]. Only the ratio-5 interval included zero. At ratios 5, 10, and 20 the mean gain from leaving 0.50 is an order of magnitude larger than the mean gap between the rules. Whiskers in Figure 2 are minima and maxima, not a confidence interval.</w:t>
      </w:r>
    </w:p>
    <w:p>
      <w:pPr>
        <w:keepLines/>
        <w:spacing w:before="160" w:after="40"/>
        <w:jc w:val="center"/>
      </w:pPr>
      <w:r>
        <w:drawing>
          <wp:inline xmlns:a="http://schemas.openxmlformats.org/drawingml/2006/main" xmlns:pic="http://schemas.openxmlformats.org/drawingml/2006/picture">
            <wp:extent cx="5852160" cy="4914951"/>
            <wp:docPr id="1" name="Picture 1"/>
            <wp:cNvGraphicFramePr>
              <a:graphicFrameLocks noChangeAspect="1"/>
            </wp:cNvGraphicFramePr>
            <a:graphic>
              <a:graphicData uri="http://schemas.openxmlformats.org/drawingml/2006/picture">
                <pic:pic>
                  <pic:nvPicPr>
                    <pic:cNvPr id="0" name="kbs-fig1-1.png"/>
                    <pic:cNvPicPr/>
                  </pic:nvPicPr>
                  <pic:blipFill>
                    <a:blip r:embed="rId9"/>
                    <a:stretch>
                      <a:fillRect/>
                    </a:stretch>
                  </pic:blipFill>
                  <pic:spPr>
                    <a:xfrm>
                      <a:off x="0" y="0"/>
                      <a:ext cx="5852160" cy="4914951"/>
                    </a:xfrm>
                    <a:prstGeom prst="rect"/>
                  </pic:spPr>
                </pic:pic>
              </a:graphicData>
            </a:graphic>
          </wp:inline>
        </w:drawing>
      </w:r>
    </w:p>
    <w:p>
      <w:pPr>
        <w:keepNext/>
        <w:spacing w:line="480" w:lineRule="auto" w:before="200" w:after="0"/>
      </w:pPr>
      <w:r>
        <w:rPr>
          <w:rFonts w:ascii="Times New Roman" w:hAnsi="Times New Roman" w:cs="Times New Roman" w:eastAsia="Times New Roman"/>
          <w:b/>
          <w:i w:val="0"/>
          <w:sz w:val="24"/>
        </w:rPr>
        <w:t xml:space="preserve">Figure 1. </w:t>
      </w:r>
      <w:r>
        <w:rPr>
          <w:rFonts w:ascii="Times New Roman" w:hAnsi="Times New Roman" w:cs="Times New Roman" w:eastAsia="Times New Roman"/>
          <w:b w:val="0"/>
          <w:i w:val="0"/>
          <w:sz w:val="24"/>
        </w:rPr>
        <w:t>Validation cost per case for the prediction-first model on the seed-42 validation split. Panels (a)–(d) are the cost ratios 2, 5, 10, and 20. The curve is Eq. (1). The circle marks the minimizing threshold and is labeled with its value. The dotted line is threshold 0.50.</w:t>
      </w:r>
    </w:p>
    <w:p>
      <w:pPr>
        <w:spacing w:before="160" w:after="40"/>
        <w:jc w:val="center"/>
      </w:pPr>
      <w:r>
        <w:drawing>
          <wp:inline xmlns:a="http://schemas.openxmlformats.org/drawingml/2006/main" xmlns:pic="http://schemas.openxmlformats.org/drawingml/2006/picture">
            <wp:extent cx="5852160" cy="5311495"/>
            <wp:docPr id="2" name="Picture 2"/>
            <wp:cNvGraphicFramePr>
              <a:graphicFrameLocks noChangeAspect="1"/>
            </wp:cNvGraphicFramePr>
            <a:graphic>
              <a:graphicData uri="http://schemas.openxmlformats.org/drawingml/2006/picture">
                <pic:pic>
                  <pic:nvPicPr>
                    <pic:cNvPr id="0" name="kbs-fig2-1.png"/>
                    <pic:cNvPicPr/>
                  </pic:nvPicPr>
                  <pic:blipFill>
                    <a:blip r:embed="rId10"/>
                    <a:stretch>
                      <a:fillRect/>
                    </a:stretch>
                  </pic:blipFill>
                  <pic:spPr>
                    <a:xfrm>
                      <a:off x="0" y="0"/>
                      <a:ext cx="5852160" cy="5311495"/>
                    </a:xfrm>
                    <a:prstGeom prst="rect"/>
                  </pic:spPr>
                </pic:pic>
              </a:graphicData>
            </a:graphic>
          </wp:inline>
        </w:drawing>
      </w:r>
    </w:p>
    <w:p>
      <w:pPr>
        <w:keepNext/>
        <w:spacing w:line="480" w:lineRule="auto" w:before="200" w:after="0"/>
      </w:pPr>
      <w:r>
        <w:rPr>
          <w:rFonts w:ascii="Times New Roman" w:hAnsi="Times New Roman" w:cs="Times New Roman" w:eastAsia="Times New Roman"/>
          <w:b/>
          <w:i w:val="0"/>
          <w:sz w:val="24"/>
        </w:rPr>
        <w:t xml:space="preserve">Figure 2. </w:t>
      </w:r>
      <w:r>
        <w:rPr>
          <w:rFonts w:ascii="Times New Roman" w:hAnsi="Times New Roman" w:cs="Times New Roman" w:eastAsia="Times New Roman"/>
          <w:b w:val="0"/>
          <w:i w:val="0"/>
          <w:sz w:val="24"/>
        </w:rPr>
        <w:t>Chosen threshold (a) and test cost per case (b) across false-negative cost ratios. Markers are the seed-42 rules. Circles are prediction-first selection. Squares are decision-first selection. Crosses score the prediction-first model at threshold 0.50. Whiskers run from the minimum to the maximum over 20 stratified splits (seeds 42 through 61). They are not a confidence interval. The dotted line in (a) is threshold 0.50. Model names for seed 42 are in Table 2.</w:t>
      </w:r>
    </w:p>
    <w:p>
      <w:pPr>
        <w:keepNext/>
        <w:spacing w:line="480" w:lineRule="auto" w:before="240" w:after="0"/>
      </w:pPr>
      <w:r>
        <w:rPr>
          <w:rFonts w:ascii="Times New Roman" w:hAnsi="Times New Roman" w:cs="Times New Roman" w:eastAsia="Times New Roman"/>
          <w:b/>
          <w:i w:val="0"/>
          <w:color w:val="366091"/>
          <w:sz w:val="24"/>
        </w:rPr>
        <w:t>5. Implications for the operating decision</w:t>
      </w:r>
    </w:p>
    <w:p>
      <w:pPr>
        <w:spacing w:line="480" w:lineRule="auto" w:before="0" w:after="0"/>
        <w:jc w:val="left"/>
      </w:pPr>
      <w:r>
        <w:rPr>
          <w:rFonts w:ascii="Times New Roman" w:hAnsi="Times New Roman" w:cs="Times New Roman" w:eastAsia="Times New Roman"/>
          <w:b w:val="0"/>
          <w:i w:val="0"/>
          <w:sz w:val="24"/>
        </w:rPr>
        <w:t xml:space="preserve">The chain is probability, preference, policy, then action. The model estimates a default probability, the knowledge layer states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the decision layer returns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and the action predicts default when the probability is at least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When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changes, the same model can keep its probabilities and publish a new threshold. On this file,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moves the prediction-first rule from 0.50 to 0.09. An organization with a probability model does not, on this evidence, need to replace that model every time the cost ratio changes. Online consumer credit is already a risk-management task [29]. Research on digital transformation treats the organizational resource, rather than the software alone, as what has to change [30]. Here that resource is the pair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The file contains Taiwanese credit-card clients [25], not a startup portfolio,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a scenario weight rather than a measured loss.</w:t>
      </w:r>
    </w:p>
    <w:p>
      <w:pPr>
        <w:keepNext/>
        <w:spacing w:line="480" w:lineRule="auto" w:before="240" w:after="0"/>
      </w:pPr>
      <w:r>
        <w:rPr>
          <w:rFonts w:ascii="Times New Roman" w:hAnsi="Times New Roman" w:cs="Times New Roman" w:eastAsia="Times New Roman"/>
          <w:b/>
          <w:i w:val="0"/>
          <w:color w:val="366091"/>
          <w:sz w:val="24"/>
        </w:rPr>
        <w:t>6. Conclusion</w:t>
      </w:r>
    </w:p>
    <w:p>
      <w:pPr>
        <w:spacing w:line="480" w:lineRule="auto" w:before="0" w:after="0"/>
        <w:jc w:val="left"/>
      </w:pPr>
      <w:r>
        <w:rPr>
          <w:rFonts w:ascii="Times New Roman" w:hAnsi="Times New Roman" w:cs="Times New Roman" w:eastAsia="Times New Roman"/>
          <w:b w:val="0"/>
          <w:i w:val="0"/>
          <w:sz w:val="24"/>
        </w:rPr>
        <w:t xml:space="preserve">The useful output is a threshold tied to a stated cost ratio. On the seed-42 test set, leaving threshold 0.50 reduced cost by a margin whose interval excluded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and the strategy difference was not statistically conclusive at those three ratios.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the point estimate favored prediction-first selection. Across seeds 42 through 61, the mean gain from leaving 0.50 excluded zero at every ratio, including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where the seed-42 test interval still included zero. Those are different questions, and the min-to-max range is not a confidence interval. Extending the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grid to 0.009 did not lower seed-42 test cost. The validation Brier scores are close, which is not a calibration proof. SEX was excluded from the predictors, was not used to estimate a sex effect, and that exclusion does not establish fairness.</w:t>
      </w:r>
    </w:p>
    <w:p>
      <w:pPr>
        <w:keepNext/>
        <w:spacing w:line="480" w:lineRule="auto" w:before="240" w:after="0"/>
      </w:pPr>
      <w:r>
        <w:rPr>
          <w:rFonts w:ascii="Times New Roman" w:hAnsi="Times New Roman" w:cs="Times New Roman" w:eastAsia="Times New Roman"/>
          <w:b/>
          <w:i w:val="0"/>
          <w:color w:val="366091"/>
          <w:sz w:val="24"/>
        </w:rPr>
        <w:t>Data Availability</w:t>
      </w:r>
    </w:p>
    <w:p>
      <w:pPr>
        <w:spacing w:line="480" w:lineRule="auto" w:before="0" w:after="0"/>
        <w:jc w:val="left"/>
      </w:pPr>
      <w:r>
        <w:rPr>
          <w:rFonts w:ascii="Times New Roman" w:hAnsi="Times New Roman" w:cs="Times New Roman" w:eastAsia="Times New Roman"/>
          <w:b w:val="0"/>
          <w:i w:val="0"/>
          <w:sz w:val="24"/>
        </w:rPr>
        <w:t>The Default of Credit Card Clients file is the UCI Machine Learning Repository dataset introduced by Yeh and Lien [25,26] (https://doi.org/10.24432/C55S3H). The script that regenerates the tables and figures is run.py in https://github.com/pravallika-nalluri-dba/kbs-cost-aware-classification.</w:t>
      </w:r>
    </w:p>
    <w:p>
      <w:pPr>
        <w:keepNext/>
        <w:spacing w:line="480" w:lineRule="auto" w:before="240" w:after="0"/>
      </w:pPr>
      <w:r>
        <w:rPr>
          <w:rFonts w:ascii="Times New Roman" w:hAnsi="Times New Roman" w:cs="Times New Roman" w:eastAsia="Times New Roman"/>
          <w:b/>
          <w:i w:val="0"/>
          <w:color w:val="366091"/>
          <w:sz w:val="24"/>
        </w:rPr>
        <w:t>Declaration of Competing Interest</w:t>
      </w:r>
    </w:p>
    <w:p>
      <w:pPr>
        <w:spacing w:line="480" w:lineRule="auto" w:before="0" w:after="0"/>
        <w:jc w:val="left"/>
      </w:pPr>
      <w:r>
        <w:rPr>
          <w:rFonts w:ascii="Times New Roman" w:hAnsi="Times New Roman" w:cs="Times New Roman" w:eastAsia="Times New Roman"/>
          <w:b w:val="0"/>
          <w:i w:val="0"/>
          <w:sz w:val="24"/>
        </w:rPr>
        <w:t>The author declares that she has no known competing financial interests or personal relationships that could have appeared to influence the work reported in this paper.</w:t>
      </w:r>
    </w:p>
    <w:p>
      <w:pPr>
        <w:keepNext/>
        <w:spacing w:line="480" w:lineRule="auto" w:before="240" w:after="0"/>
      </w:pPr>
      <w:r>
        <w:rPr>
          <w:rFonts w:ascii="Times New Roman" w:hAnsi="Times New Roman" w:cs="Times New Roman" w:eastAsia="Times New Roman"/>
          <w:b/>
          <w:i w:val="0"/>
          <w:color w:val="366091"/>
          <w:sz w:val="24"/>
        </w:rPr>
        <w:t>Funding</w:t>
      </w:r>
    </w:p>
    <w:p>
      <w:pPr>
        <w:spacing w:line="480" w:lineRule="auto" w:before="0" w:after="0"/>
        <w:jc w:val="left"/>
      </w:pPr>
      <w:r>
        <w:rPr>
          <w:rFonts w:ascii="Times New Roman" w:hAnsi="Times New Roman" w:cs="Times New Roman" w:eastAsia="Times New Roman"/>
          <w:b w:val="0"/>
          <w:i w:val="0"/>
          <w:sz w:val="24"/>
        </w:rPr>
        <w:t>This research did not receive any specific grant from funding agencies in the public, commercial, or not-for-profit sectors.</w:t>
      </w:r>
    </w:p>
    <w:p>
      <w:pPr>
        <w:keepNext/>
        <w:spacing w:line="480" w:lineRule="auto" w:before="240" w:after="0"/>
      </w:pPr>
      <w:r>
        <w:rPr>
          <w:rFonts w:ascii="Times New Roman" w:hAnsi="Times New Roman" w:cs="Times New Roman" w:eastAsia="Times New Roman"/>
          <w:b/>
          <w:i w:val="0"/>
          <w:color w:val="366091"/>
          <w:sz w:val="24"/>
        </w:rPr>
        <w:t>CRediT Authorship Contribution Statement</w:t>
      </w:r>
    </w:p>
    <w:p>
      <w:pPr>
        <w:spacing w:line="480" w:lineRule="auto" w:before="0" w:after="0"/>
        <w:jc w:val="left"/>
      </w:pPr>
      <w:r>
        <w:rPr>
          <w:rFonts w:ascii="Times New Roman" w:hAnsi="Times New Roman" w:cs="Times New Roman" w:eastAsia="Times New Roman"/>
          <w:b/>
          <w:i w:val="0"/>
          <w:sz w:val="24"/>
        </w:rPr>
        <w:t xml:space="preserve">Pravallika Nalluri: </w:t>
      </w:r>
      <w:r>
        <w:rPr>
          <w:rFonts w:ascii="Times New Roman" w:hAnsi="Times New Roman" w:cs="Times New Roman" w:eastAsia="Times New Roman"/>
          <w:b w:val="0"/>
          <w:i w:val="0"/>
          <w:sz w:val="24"/>
        </w:rPr>
        <w:t>Conceptualization, Methodology, Software, Validation, Formal analysis, Writing -- original draft, Writing -- review and editing.</w:t>
      </w:r>
    </w:p>
    <w:p>
      <w:pPr>
        <w:keepNext/>
        <w:spacing w:line="480" w:lineRule="auto" w:before="240" w:after="0"/>
      </w:pPr>
      <w:r>
        <w:rPr>
          <w:rFonts w:ascii="Times New Roman" w:hAnsi="Times New Roman" w:cs="Times New Roman" w:eastAsia="Times New Roman"/>
          <w:b/>
          <w:i w:val="0"/>
          <w:color w:val="366091"/>
          <w:sz w:val="24"/>
        </w:rPr>
        <w:t>Declaration of Generative AI and AI-Assisted Technologies in the Manuscript Preparation Process</w:t>
      </w:r>
    </w:p>
    <w:p>
      <w:pPr>
        <w:spacing w:line="480" w:lineRule="auto" w:before="0" w:after="0"/>
        <w:jc w:val="left"/>
      </w:pPr>
      <w:r>
        <w:rPr>
          <w:rFonts w:ascii="Times New Roman" w:hAnsi="Times New Roman" w:cs="Times New Roman" w:eastAsia="Times New Roman"/>
          <w:b w:val="0"/>
          <w:i w:val="0"/>
          <w:sz w:val="24"/>
        </w:rPr>
        <w:t>During the preparation of this work the author used Cursor (Grok) to assist with code structure, experiment implementation, and language editing of the manuscript. After using this tool, the author reviewed and edited the content as needed and takes full responsibility for the content of the published article.</w:t>
      </w:r>
    </w:p>
    <w:p>
      <w:pPr>
        <w:keepNext/>
        <w:spacing w:line="480" w:lineRule="auto" w:before="240" w:after="0"/>
      </w:pPr>
      <w:r>
        <w:rPr>
          <w:rFonts w:ascii="Times New Roman" w:hAnsi="Times New Roman" w:cs="Times New Roman" w:eastAsia="Times New Roman"/>
          <w:b/>
          <w:i w:val="0"/>
          <w:color w:val="366091"/>
          <w:sz w:val="24"/>
        </w:rPr>
        <w:t>References</w:t>
      </w:r>
    </w:p>
    <w:p>
      <w:pPr>
        <w:spacing w:line="480" w:lineRule="auto" w:before="0" w:after="0"/>
        <w:jc w:val="left"/>
      </w:pPr>
      <w:r>
        <w:rPr>
          <w:rFonts w:ascii="Times New Roman" w:hAnsi="Times New Roman" w:cs="Times New Roman" w:eastAsia="Times New Roman"/>
          <w:b w:val="0"/>
          <w:i w:val="0"/>
          <w:sz w:val="24"/>
        </w:rPr>
        <w:t>[1] Khaoula Idbenjra, Kristof Coussement, Arno De Caigny, 2024. Investigating the beneficial impact of segmentation-based modelling for credit scoring. Decision Support Systems 179, 114170. https://doi.org/10.1016/j.dss.2024.114170</w:t>
      </w:r>
    </w:p>
    <w:p>
      <w:pPr>
        <w:spacing w:line="480" w:lineRule="auto" w:before="0" w:after="0"/>
        <w:jc w:val="left"/>
      </w:pPr>
      <w:r>
        <w:rPr>
          <w:rFonts w:ascii="Times New Roman" w:hAnsi="Times New Roman" w:cs="Times New Roman" w:eastAsia="Times New Roman"/>
          <w:b w:val="0"/>
          <w:i w:val="0"/>
          <w:sz w:val="24"/>
        </w:rPr>
        <w:t>[2] Yusheng Li, Feng Gao, Mengyi Sha, Xueyan Shao, 2024. Sequential three-way decision with automatic threshold learning for credit risk prediction. Applied Soft Computing 165, 112127. https://doi.org/10.1016/j.asoc.2024.112127</w:t>
      </w:r>
    </w:p>
    <w:p>
      <w:pPr>
        <w:spacing w:line="480" w:lineRule="auto" w:before="0" w:after="0"/>
        <w:jc w:val="left"/>
      </w:pPr>
      <w:r>
        <w:rPr>
          <w:rFonts w:ascii="Times New Roman" w:hAnsi="Times New Roman" w:cs="Times New Roman" w:eastAsia="Times New Roman"/>
          <w:b w:val="0"/>
          <w:i w:val="0"/>
          <w:sz w:val="24"/>
        </w:rPr>
        <w:t>[3] Marija Kopanja, Miloš Savić, Luca Longo, 2025. CORTEX: Cost-sensitive rule and tree extraction method. Knowledge-Based Systems 330, 114592. https://doi.org/10.1016/j.knosys.2025.114592</w:t>
      </w:r>
    </w:p>
    <w:p>
      <w:pPr>
        <w:spacing w:line="480" w:lineRule="auto" w:before="0" w:after="0"/>
        <w:jc w:val="left"/>
      </w:pPr>
      <w:r>
        <w:rPr>
          <w:rFonts w:ascii="Times New Roman" w:hAnsi="Times New Roman" w:cs="Times New Roman" w:eastAsia="Times New Roman"/>
          <w:b w:val="0"/>
          <w:i w:val="0"/>
          <w:sz w:val="24"/>
        </w:rPr>
        <w:t>[4] Jin Xing, Guotai Chi, Ancheng Pan, 2024. Instance-dependent misclassification cost-sensitive learning for default prediction. Research in International Business and Finance 69, 102265. https://doi.org/10.1016/j.ribaf.2024.102265</w:t>
      </w:r>
    </w:p>
    <w:p>
      <w:pPr>
        <w:spacing w:line="480" w:lineRule="auto" w:before="0" w:after="0"/>
        <w:jc w:val="left"/>
      </w:pPr>
      <w:r>
        <w:rPr>
          <w:rFonts w:ascii="Times New Roman" w:hAnsi="Times New Roman" w:cs="Times New Roman" w:eastAsia="Times New Roman"/>
          <w:b w:val="0"/>
          <w:i w:val="0"/>
          <w:sz w:val="24"/>
        </w:rPr>
        <w:t>[5] Feng Shen, Zhiyuan Yang, Jia Kuang, Zhangyao Zhu, 2024. Reject inference in credit scoring based on cost-sensitive learning and joint distribution adaptation method. Expert Systems with Applications 251, 124072. https://doi.org/10.1016/j.eswa.2024.124072</w:t>
      </w:r>
    </w:p>
    <w:p>
      <w:pPr>
        <w:spacing w:line="480" w:lineRule="auto" w:before="0" w:after="0"/>
        <w:jc w:val="left"/>
      </w:pPr>
      <w:r>
        <w:rPr>
          <w:rFonts w:ascii="Times New Roman" w:hAnsi="Times New Roman" w:cs="Times New Roman" w:eastAsia="Times New Roman"/>
          <w:b w:val="0"/>
          <w:i w:val="0"/>
          <w:sz w:val="24"/>
        </w:rPr>
        <w:t>[6] Jorge C-Rella, David Martinez Rego, Juan M. Vilar, 2025. Cost-sensitive reinforcement learning for credit risk. Expert Systems with Applications 272, 126708. https://doi.org/10.1016/j.eswa.2025.126708</w:t>
      </w:r>
    </w:p>
    <w:p>
      <w:pPr>
        <w:spacing w:line="480" w:lineRule="auto" w:before="0" w:after="0"/>
        <w:jc w:val="left"/>
      </w:pPr>
      <w:r>
        <w:rPr>
          <w:rFonts w:ascii="Times New Roman" w:hAnsi="Times New Roman" w:cs="Times New Roman" w:eastAsia="Times New Roman"/>
          <w:b w:val="0"/>
          <w:i w:val="0"/>
          <w:sz w:val="24"/>
        </w:rPr>
        <w:t>[7] Shanshan Wang, Guotai Chi, 2024. Cost-sensitive stacking ensemble learning for company financial distress prediction. Expert Systems with Applications 255, 124525. https://doi.org/10.1016/j.eswa.2024.124525</w:t>
      </w:r>
    </w:p>
    <w:p>
      <w:pPr>
        <w:spacing w:line="480" w:lineRule="auto" w:before="0" w:after="0"/>
        <w:jc w:val="left"/>
      </w:pPr>
      <w:r>
        <w:rPr>
          <w:rFonts w:ascii="Times New Roman" w:hAnsi="Times New Roman" w:cs="Times New Roman" w:eastAsia="Times New Roman"/>
          <w:b w:val="0"/>
          <w:i w:val="0"/>
          <w:sz w:val="24"/>
        </w:rPr>
        <w:t>[8] Xiaoxi Zhao, Yingjie Tian, 2024. Credit risk assessment method driven by asymmetric loss function. Applied Soft Computing 167, 112355. https://doi.org/10.1016/j.asoc.2024.112355</w:t>
      </w:r>
    </w:p>
    <w:p>
      <w:pPr>
        <w:spacing w:line="480" w:lineRule="auto" w:before="0" w:after="0"/>
        <w:jc w:val="left"/>
      </w:pPr>
      <w:r>
        <w:rPr>
          <w:rFonts w:ascii="Times New Roman" w:hAnsi="Times New Roman" w:cs="Times New Roman" w:eastAsia="Times New Roman"/>
          <w:b w:val="0"/>
          <w:i w:val="0"/>
          <w:sz w:val="24"/>
        </w:rPr>
        <w:t>[9] Yong Xu, Gang Kou, Daji Ergu, 2025. Profit-based uncertainty estimation with application to credit scoring. European Journal of Operational Research 325 (2), 303–316. https://doi.org/10.1016/j.ejor.2025.03.007</w:t>
      </w:r>
    </w:p>
    <w:p>
      <w:pPr>
        <w:spacing w:line="480" w:lineRule="auto" w:before="0" w:after="0"/>
        <w:jc w:val="left"/>
      </w:pPr>
      <w:r>
        <w:rPr>
          <w:rFonts w:ascii="Times New Roman" w:hAnsi="Times New Roman" w:cs="Times New Roman" w:eastAsia="Times New Roman"/>
          <w:b w:val="0"/>
          <w:i w:val="0"/>
          <w:sz w:val="24"/>
        </w:rPr>
        <w:t>[10] Yong Xu, Daji Ergu, 2026. Understanding the profit-driven credit scoring: New insights on loss functions and measures. Applied Soft Computing 186, 114184. https://doi.org/10.1016/j.asoc.2025.114184</w:t>
      </w:r>
    </w:p>
    <w:p>
      <w:pPr>
        <w:spacing w:line="480" w:lineRule="auto" w:before="0" w:after="0"/>
        <w:jc w:val="left"/>
      </w:pPr>
      <w:r>
        <w:rPr>
          <w:rFonts w:ascii="Times New Roman" w:hAnsi="Times New Roman" w:cs="Times New Roman" w:eastAsia="Times New Roman"/>
          <w:b w:val="0"/>
          <w:i w:val="0"/>
          <w:sz w:val="24"/>
        </w:rPr>
        <w:t>[11] Jingjing Tang, Yan Li, Zhaojie Hou, Saiji Fu, Yingjie Tian, 2024. Robust two-stage instance-level cost-sensitive learning method for class imbalance problem. Knowledge-Based Systems 300, 112143. https://doi.org/10.1016/j.knosys.2024.112143</w:t>
      </w:r>
    </w:p>
    <w:p>
      <w:pPr>
        <w:spacing w:line="480" w:lineRule="auto" w:before="0" w:after="0"/>
        <w:jc w:val="left"/>
      </w:pPr>
      <w:r>
        <w:rPr>
          <w:rFonts w:ascii="Times New Roman" w:hAnsi="Times New Roman" w:cs="Times New Roman" w:eastAsia="Times New Roman"/>
          <w:b w:val="0"/>
          <w:i w:val="0"/>
          <w:sz w:val="24"/>
        </w:rPr>
        <w:t>[12] Jonah Mushava, Michael Murray, 2024. Flexible loss functions for binary classification in gradient-boosted decision trees: An application to credit scoring. Expert Systems with Applications 238, 121876. https://doi.org/10.1016/j.eswa.2023.121876</w:t>
      </w:r>
    </w:p>
    <w:p>
      <w:pPr>
        <w:spacing w:line="480" w:lineRule="auto" w:before="0" w:after="0"/>
        <w:jc w:val="left"/>
      </w:pPr>
      <w:r>
        <w:rPr>
          <w:rFonts w:ascii="Times New Roman" w:hAnsi="Times New Roman" w:cs="Times New Roman" w:eastAsia="Times New Roman"/>
          <w:b w:val="0"/>
          <w:i w:val="0"/>
          <w:sz w:val="24"/>
        </w:rPr>
        <w:t>[13] Futian Weng, Miao Zhu, Mike Buckle, Petr Hajek, Mohammad Zoynul Abedin, 2025. Class imbalance Bayesian model averaging for consumer loan default prediction: The role of soft credit information. Research in International Business and Finance 74, 102722. https://doi.org/10.1016/j.ribaf.2024.102722</w:t>
      </w:r>
    </w:p>
    <w:p>
      <w:pPr>
        <w:spacing w:line="480" w:lineRule="auto" w:before="0" w:after="0"/>
        <w:jc w:val="left"/>
      </w:pPr>
      <w:r>
        <w:rPr>
          <w:rFonts w:ascii="Times New Roman" w:hAnsi="Times New Roman" w:cs="Times New Roman" w:eastAsia="Times New Roman"/>
          <w:b w:val="0"/>
          <w:i w:val="0"/>
          <w:sz w:val="24"/>
        </w:rPr>
        <w:t>[14] Azree Nazri, Olalekan Agbolade, Faisal Aziz, 2025. Hybrid reinforcement learning-active learning framework for real-data augmentation in imbalanced credit scoring. IEEE Access 13, 191005–191023. https://doi.org/10.1109/ACCESS.2025.3608032</w:t>
      </w:r>
    </w:p>
    <w:p>
      <w:pPr>
        <w:spacing w:line="480" w:lineRule="auto" w:before="0" w:after="0"/>
        <w:jc w:val="left"/>
      </w:pPr>
      <w:r>
        <w:rPr>
          <w:rFonts w:ascii="Times New Roman" w:hAnsi="Times New Roman" w:cs="Times New Roman" w:eastAsia="Times New Roman"/>
          <w:b w:val="0"/>
          <w:i w:val="0"/>
          <w:sz w:val="24"/>
        </w:rPr>
        <w:t>[15] Yutong Sun, Yanting Ji, Xiangxing Tao, 2024. Research on default classification of unbalanced credit data based on PixelCNN-WGAN. Electronics 13 (17), 3419. https://doi.org/10.3390/electronics13173419</w:t>
      </w:r>
    </w:p>
    <w:p>
      <w:pPr>
        <w:spacing w:line="480" w:lineRule="auto" w:before="0" w:after="0"/>
        <w:jc w:val="left"/>
      </w:pPr>
      <w:r>
        <w:rPr>
          <w:rFonts w:ascii="Times New Roman" w:hAnsi="Times New Roman" w:cs="Times New Roman" w:eastAsia="Times New Roman"/>
          <w:b w:val="0"/>
          <w:i w:val="0"/>
          <w:sz w:val="24"/>
        </w:rPr>
        <w:t>[16] Sudhansu Ranjan Lenka, Sukant Kishoro Bisoy, Rojalina Priyadarshini, Kueh Lee Hui, Mangal Sain, 2024. Evolutionary-based multi-objective and conditional generative adversarial networks for credit scoring. IEEE Access 12, 158346–158366. https://doi.org/10.1109/ACCESS.2024.3486909</w:t>
      </w:r>
    </w:p>
    <w:p>
      <w:pPr>
        <w:spacing w:line="480" w:lineRule="auto" w:before="0" w:after="0"/>
        <w:jc w:val="left"/>
      </w:pPr>
      <w:r>
        <w:rPr>
          <w:rFonts w:ascii="Times New Roman" w:hAnsi="Times New Roman" w:cs="Times New Roman" w:eastAsia="Times New Roman"/>
          <w:b w:val="0"/>
          <w:i w:val="0"/>
          <w:sz w:val="24"/>
        </w:rPr>
        <w:t>[17] Yujia Chen, Raffaella Calabrese, Belen Martin-Barragan, 2024. Interpretable machine learning for imbalanced credit scoring datasets. European Journal of Operational Research 312 (1), 357–372. https://doi.org/10.1016/j.ejor.2023.06.036</w:t>
      </w:r>
    </w:p>
    <w:p>
      <w:pPr>
        <w:spacing w:line="480" w:lineRule="auto" w:before="0" w:after="0"/>
        <w:jc w:val="left"/>
      </w:pPr>
      <w:r>
        <w:rPr>
          <w:rFonts w:ascii="Times New Roman" w:hAnsi="Times New Roman" w:cs="Times New Roman" w:eastAsia="Times New Roman"/>
          <w:b w:val="0"/>
          <w:i w:val="0"/>
          <w:sz w:val="24"/>
        </w:rPr>
        <w:t>[18] Jiancheng Tu, Zhibin Wu, 2025. Inherently interpretable machine learning for credit scoring: Optimal classification tree with hyperplane splits. European Journal of Operational Research 322 (2), 647–664. https://doi.org/10.1016/j.ejor.2024.10.046</w:t>
      </w:r>
    </w:p>
    <w:p>
      <w:pPr>
        <w:spacing w:line="480" w:lineRule="auto" w:before="0" w:after="0"/>
        <w:jc w:val="left"/>
      </w:pPr>
      <w:r>
        <w:rPr>
          <w:rFonts w:ascii="Times New Roman" w:hAnsi="Times New Roman" w:cs="Times New Roman" w:eastAsia="Times New Roman"/>
          <w:b w:val="0"/>
          <w:i w:val="0"/>
          <w:sz w:val="24"/>
        </w:rPr>
        <w:t>[19] Soonjae Kwon, Jaeyeon Jang, Chang Ouk Kim, 2025. Credit scoring using multi-task Siamese neural network for improving prediction performance and stability. Expert Systems with Applications 259, 125327. https://doi.org/10.1016/j.eswa.2024.125327</w:t>
      </w:r>
    </w:p>
    <w:p>
      <w:pPr>
        <w:spacing w:line="480" w:lineRule="auto" w:before="0" w:after="0"/>
        <w:jc w:val="left"/>
      </w:pPr>
      <w:r>
        <w:rPr>
          <w:rFonts w:ascii="Times New Roman" w:hAnsi="Times New Roman" w:cs="Times New Roman" w:eastAsia="Times New Roman"/>
          <w:b w:val="0"/>
          <w:i w:val="0"/>
          <w:sz w:val="24"/>
        </w:rPr>
        <w:t>[20] Dongqi Yang, Binqing Xiao, Mengya Cao, Huaqi Shen, 2024. A new hybrid credit scoring ensemble model with feature enhancement and soft voting weight optimization. Expert Systems with Applications 238, 122101. https://doi.org/10.1016/j.eswa.2023.122101</w:t>
      </w:r>
    </w:p>
    <w:p>
      <w:pPr>
        <w:spacing w:line="480" w:lineRule="auto" w:before="0" w:after="0"/>
        <w:jc w:val="left"/>
      </w:pPr>
      <w:r>
        <w:rPr>
          <w:rFonts w:ascii="Times New Roman" w:hAnsi="Times New Roman" w:cs="Times New Roman" w:eastAsia="Times New Roman"/>
          <w:b w:val="0"/>
          <w:i w:val="0"/>
          <w:sz w:val="24"/>
        </w:rPr>
        <w:t>[21] Victor Chang, Sharuga Sivakulasingam, Hai Wang, Siu Tung Wong, Meghana Ashok Ganatra, Jiabin Luo, 2024. Credit risk prediction using machine learning and deep learning: A study on credit card customers. Risks 12 (11), 174. https://doi.org/10.3390/risks12110174</w:t>
      </w:r>
    </w:p>
    <w:p>
      <w:pPr>
        <w:spacing w:line="480" w:lineRule="auto" w:before="0" w:after="0"/>
        <w:jc w:val="left"/>
      </w:pPr>
      <w:r>
        <w:rPr>
          <w:rFonts w:ascii="Times New Roman" w:hAnsi="Times New Roman" w:cs="Times New Roman" w:eastAsia="Times New Roman"/>
          <w:b w:val="0"/>
          <w:i w:val="0"/>
          <w:sz w:val="24"/>
        </w:rPr>
        <w:t>[22] Ming-Liang Ding, Yu-Liang Ma, Fu-Qiang You, 2025. Domain-constrained stacking framework for credit default prediction. Mathematics 13 (21), 3451. https://doi.org/10.3390/math13213451</w:t>
      </w:r>
    </w:p>
    <w:p>
      <w:pPr>
        <w:spacing w:line="480" w:lineRule="auto" w:before="0" w:after="0"/>
        <w:jc w:val="left"/>
      </w:pPr>
      <w:r>
        <w:rPr>
          <w:rFonts w:ascii="Times New Roman" w:hAnsi="Times New Roman" w:cs="Times New Roman" w:eastAsia="Times New Roman"/>
          <w:b w:val="0"/>
          <w:i w:val="0"/>
          <w:sz w:val="24"/>
        </w:rPr>
        <w:t>[23] Zhongyi Wang, Yuhang Tian, Sihan Li, Jin Xiao, 2025. A secure cross-silo collaborative method for imbalanced credit scoring. European Journal of Operational Research 326 (2), 357–373. https://doi.org/10.1016/j.ejor.2025.04.020</w:t>
      </w:r>
    </w:p>
    <w:p>
      <w:pPr>
        <w:spacing w:line="480" w:lineRule="auto" w:before="0" w:after="0"/>
        <w:jc w:val="left"/>
      </w:pPr>
      <w:r>
        <w:rPr>
          <w:rFonts w:ascii="Times New Roman" w:hAnsi="Times New Roman" w:cs="Times New Roman" w:eastAsia="Times New Roman"/>
          <w:b w:val="0"/>
          <w:i w:val="0"/>
          <w:sz w:val="24"/>
        </w:rPr>
        <w:t>[24] Atul Vikas Lakra, Sudarson Jena, Kaushik Mishra, 2025. Optimizing XGBoost hyperparameters for credit scoring classification using weighted cognitive avoidance particle swarm. IEEE Access 13, 127292–127306. https://doi.org/10.1109/ACCESS.2025.3585980</w:t>
      </w:r>
    </w:p>
    <w:p>
      <w:pPr>
        <w:spacing w:line="480" w:lineRule="auto" w:before="0" w:after="0"/>
        <w:jc w:val="left"/>
      </w:pPr>
      <w:r>
        <w:rPr>
          <w:rFonts w:ascii="Times New Roman" w:hAnsi="Times New Roman" w:cs="Times New Roman" w:eastAsia="Times New Roman"/>
          <w:b w:val="0"/>
          <w:i w:val="0"/>
          <w:sz w:val="24"/>
        </w:rPr>
        <w:t>[25] I-Cheng Yeh, Che-hui Lien, 2009. The comparisons of data mining techniques for the predictive accuracy of probability of default of credit card clients. Expert Systems with Applications 36 (2), 2473–2480. https://doi.org/10.1016/j.eswa.2007.12.020</w:t>
      </w:r>
    </w:p>
    <w:p>
      <w:pPr>
        <w:spacing w:line="480" w:lineRule="auto" w:before="0" w:after="0"/>
        <w:jc w:val="left"/>
      </w:pPr>
      <w:r>
        <w:rPr>
          <w:rFonts w:ascii="Times New Roman" w:hAnsi="Times New Roman" w:cs="Times New Roman" w:eastAsia="Times New Roman"/>
          <w:b w:val="0"/>
          <w:i w:val="0"/>
          <w:sz w:val="24"/>
        </w:rPr>
        <w:t>[26] I-Cheng Yeh, 2009. Default of Credit Card Clients [dataset]. UCI Machine Learning Repository. https://doi.org/10.24432/C55S3H</w:t>
      </w:r>
    </w:p>
    <w:p>
      <w:pPr>
        <w:spacing w:line="480" w:lineRule="auto" w:before="0" w:after="0"/>
        <w:jc w:val="left"/>
      </w:pPr>
      <w:r>
        <w:rPr>
          <w:rFonts w:ascii="Times New Roman" w:hAnsi="Times New Roman" w:cs="Times New Roman" w:eastAsia="Times New Roman"/>
          <w:b w:val="0"/>
          <w:i w:val="0"/>
          <w:sz w:val="24"/>
        </w:rPr>
        <w:t>[27] Rakshith Bhandary, Bidyut Kumar Ghosh, 2025. Credit card default prediction: An empirical analysis on predictive performance using statistical and machine learning methods. Journal of Risk and Financial Management 18 (1), 23. https://doi.org/10.3390/jrfm18010023</w:t>
      </w:r>
    </w:p>
    <w:p>
      <w:pPr>
        <w:spacing w:line="480" w:lineRule="auto" w:before="0" w:after="0"/>
        <w:jc w:val="left"/>
      </w:pPr>
      <w:r>
        <w:rPr>
          <w:rFonts w:ascii="Times New Roman" w:hAnsi="Times New Roman" w:cs="Times New Roman" w:eastAsia="Times New Roman"/>
          <w:b w:val="0"/>
          <w:i w:val="0"/>
          <w:sz w:val="24"/>
        </w:rPr>
        <w:t>[28] Junye Lin, Liping Yang, 2026. Mitigating algorithmic bias in credit scoring support systems through adversarial learning. Decision Support Systems 205, 114653. https://doi.org/10.1016/j.dss.2026.114653</w:t>
      </w:r>
    </w:p>
    <w:p>
      <w:pPr>
        <w:spacing w:line="480" w:lineRule="auto" w:before="0" w:after="0"/>
        <w:jc w:val="left"/>
      </w:pPr>
      <w:r>
        <w:rPr>
          <w:rFonts w:ascii="Times New Roman" w:hAnsi="Times New Roman" w:cs="Times New Roman" w:eastAsia="Times New Roman"/>
          <w:b w:val="0"/>
          <w:i w:val="0"/>
          <w:sz w:val="24"/>
        </w:rPr>
        <w:t>[29] Miao Zhu, Ben-Chang Shia, Meng Su, Jialin Liu, 2024. Consumer default risk portrait: An intelligent management framework of online consumer credit default risk. Mathematics 12 (10), 1582. https://doi.org/10.3390/math12101582</w:t>
      </w:r>
    </w:p>
    <w:p>
      <w:pPr>
        <w:spacing w:line="480" w:lineRule="auto" w:before="0" w:after="0"/>
        <w:jc w:val="left"/>
      </w:pPr>
      <w:r>
        <w:rPr>
          <w:rFonts w:ascii="Times New Roman" w:hAnsi="Times New Roman" w:cs="Times New Roman" w:eastAsia="Times New Roman"/>
          <w:b w:val="0"/>
          <w:i w:val="0"/>
          <w:sz w:val="24"/>
        </w:rPr>
        <w:t>[30] Gabriele Piccoli, Varun Grover, Joaquin Rodriguez, 2024. Digital transformation requires digital resource primacy: Clarification and future research directions. The Journal of Strategic Information Systems 33 (2), 101835. https://doi.org/10.1016/j.jsis.2024.101835</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Knowledge-Based Cost-Aware Decision Support for Credit Classification: Separating Model Selection from Decision Thresholds</dc:title>
  <dc:subject/>
  <dc:creator>Pravallika Nalluri</dc:creator>
  <cp:keywords/>
  <dc:description>Knowledge-Based Systems short communication source file. Affiliation: Independent Researcher, USA.</dc:description>
  <cp:lastModifiedBy/>
  <cp:revision>1</cp:revision>
  <dcterms:created xsi:type="dcterms:W3CDTF">2013-12-23T23:15:00Z</dcterms:created>
  <dcterms:modified xsi:type="dcterms:W3CDTF">2013-12-23T23:15:00Z</dcterms:modified>
  <cp:category>Short Communication</cp:category>
</cp:coreProperties>
</file>