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9E0" w:rsidRPr="00B67897" w:rsidRDefault="003816E6" w:rsidP="003816E6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B67897">
        <w:rPr>
          <w:rFonts w:ascii="Times New Roman" w:hAnsi="Times New Roman" w:cs="Times New Roman"/>
          <w:b/>
          <w:color w:val="106EBE"/>
          <w:sz w:val="36"/>
          <w:szCs w:val="36"/>
        </w:rPr>
        <w:t>Data Explanation And Preprocessing Phase</w:t>
      </w:r>
      <w:r w:rsidR="00AE265E" w:rsidRPr="00B67897">
        <w:rPr>
          <w:rFonts w:ascii="Times New Roman" w:hAnsi="Times New Roman" w:cs="Times New Roman"/>
          <w:b/>
          <w:color w:val="106EBE"/>
          <w:sz w:val="36"/>
          <w:szCs w:val="36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3816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19 September 2026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Team 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3816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MCA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Project Title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3816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 xml:space="preserve">Smartphone Usage, </w:t>
            </w:r>
            <w:r w:rsidR="00AE265E" w:rsidRPr="00B67897">
              <w:rPr>
                <w:rFonts w:ascii="Times New Roman" w:hAnsi="Times New Roman" w:cs="Times New Roman"/>
                <w:sz w:val="20"/>
                <w:szCs w:val="20"/>
              </w:rPr>
              <w:t xml:space="preserve">Digital 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 xml:space="preserve"> Addiction &amp; Well-Being Analytics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Maximum Marks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10 Marks</w:t>
            </w:r>
          </w:p>
        </w:tc>
      </w:tr>
    </w:tbl>
    <w:p w:rsidR="00AD49E0" w:rsidRPr="00B67897" w:rsidRDefault="00AD49E0">
      <w:pPr>
        <w:spacing w:after="360"/>
        <w:rPr>
          <w:rFonts w:ascii="Times New Roman" w:hAnsi="Times New Roman" w:cs="Times New Roman"/>
          <w:sz w:val="20"/>
          <w:szCs w:val="20"/>
        </w:rPr>
      </w:pPr>
    </w:p>
    <w:p w:rsidR="00AD49E0" w:rsidRPr="00B67897" w:rsidRDefault="00AE265E">
      <w:pPr>
        <w:spacing w:after="120"/>
        <w:rPr>
          <w:rFonts w:ascii="Times New Roman" w:hAnsi="Times New Roman" w:cs="Times New Roman"/>
          <w:sz w:val="32"/>
          <w:szCs w:val="32"/>
        </w:rPr>
      </w:pPr>
      <w:r w:rsidRPr="00B67897">
        <w:rPr>
          <w:rFonts w:ascii="Times New Roman" w:hAnsi="Times New Roman" w:cs="Times New Roman"/>
          <w:b/>
          <w:color w:val="106EBE"/>
          <w:sz w:val="32"/>
          <w:szCs w:val="32"/>
        </w:rPr>
        <w:t>Data Collection and Preprocessing Phase Report</w:t>
      </w:r>
    </w:p>
    <w:p w:rsidR="00AD49E0" w:rsidRPr="00B67897" w:rsidRDefault="00AE265E">
      <w:pPr>
        <w:spacing w:after="360"/>
        <w:rPr>
          <w:rFonts w:ascii="Times New Roman" w:hAnsi="Times New Roman" w:cs="Times New Roman"/>
          <w:sz w:val="20"/>
          <w:szCs w:val="20"/>
        </w:rPr>
      </w:pPr>
      <w:r w:rsidRPr="00B67897">
        <w:rPr>
          <w:rFonts w:ascii="Times New Roman" w:hAnsi="Times New Roman" w:cs="Times New Roman"/>
          <w:i/>
          <w:color w:val="787878"/>
          <w:sz w:val="20"/>
          <w:szCs w:val="20"/>
        </w:rPr>
        <w:t>Data Exploration and Preprocessing Template</w:t>
      </w:r>
      <w:r w:rsidRPr="00B67897">
        <w:rPr>
          <w:rFonts w:ascii="Times New Roman" w:hAnsi="Times New Roman" w:cs="Times New Roman"/>
          <w:i/>
          <w:color w:val="787878"/>
          <w:sz w:val="20"/>
          <w:szCs w:val="20"/>
        </w:rPr>
        <w:br/>
        <w:t>Identifies data sources, assesses quality issues like missing values and duplicates, and implements resolution plans to ensure accurate and reliable analysis.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AD49E0" w:rsidRPr="00B67897">
        <w:trPr>
          <w:jc w:val="center"/>
        </w:trPr>
        <w:tc>
          <w:tcPr>
            <w:tcW w:w="4680" w:type="dxa"/>
            <w:tcBorders>
              <w:top w:val="single" w:sz="6" w:space="0" w:color="0B4A80"/>
              <w:left w:val="single" w:sz="6" w:space="0" w:color="0B4A80"/>
              <w:bottom w:val="single" w:sz="6" w:space="0" w:color="0B4A80"/>
              <w:right w:val="single" w:sz="6" w:space="0" w:color="0B4A80"/>
            </w:tcBorders>
            <w:shd w:val="clear" w:color="auto" w:fill="106EBE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680" w:type="dxa"/>
            <w:tcBorders>
              <w:top w:val="single" w:sz="6" w:space="0" w:color="0B4A80"/>
              <w:left w:val="single" w:sz="6" w:space="0" w:color="0B4A80"/>
              <w:bottom w:val="single" w:sz="6" w:space="0" w:color="0B4A80"/>
              <w:right w:val="single" w:sz="6" w:space="0" w:color="0B4A80"/>
            </w:tcBorders>
            <w:shd w:val="clear" w:color="auto" w:fill="106EBE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 &amp; Value-Added Dashboard Findings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Data Overview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Short description about dataset scope: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Total Sample Size: 7,500 total unique user IDs analyzed across multiple demographics.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Core Problem Metric: 5,308 profiles flag positive under 'Sum of addicted_label'.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Age Profiles: Average user cohort age sits at 26.57 years, indicating a highly youthful digital footprint skewed towards students and early-career professionals.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Data Cleaning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Handle missing values, duplicate checks, and continuous logic rules: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Logic Rule Verification: Cross-referenced continuous fields to confirm daily logical integrity. Standard 24-hour baseline bounding ensures daily activity sums do not exceed chronological ceilings.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Consistency Alignment: Filtered out null or broken interactions across notification streams and session timelines, handling anomalous background execution noise.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Data Transformation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Use of Power Query for filtering, sorting, pivoting, and creating calculated columns: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• Primary Behavioral Features: Isolated active foreground screen elements into separate dimensions, resolving average social media usage (3.27 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hours/day), gaming blocks (2.01 hours/day), and focused study blocks (3.24 hours/day).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High-Frequency Interaction Aggregations: Formulated calculated measures summarizing rapid background triggers, pinning daily app opens at an average of 97.83 times/day and notification payloads at 134.26 events/day.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Data Type Conversion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Rectifying Datatype assignments across ingested parameters: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Numeric Quantization: Explicitly cast application opens, unique notification counters, and transaction counts into whole numbers (Int64) to eliminate fractional records.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Categorical Mappings: Converted unstructured inputs into distinct, index-optimized string categories for explicit slicing, notably 'Addiction Level' (Severe, Moderate, Mild, None) and 'Stress Level' (High, Medium, Low).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Column Splitting and Merging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Split or merge fields as required to generate relational depth: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Temporal Vector Segmentation: Split multi-value datetime strings into standalone day-type dimensions to accurately capture weekend surges, where average screen time peaks heavily at 9.24 hours compared to normal weekdays.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Academic &amp; Work Impact Merging: Blended qualitative academic survey records with hard workspace usage flags to establish normalized score indices profiling user academic/work performance degradation.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Data Modeling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Define relationships between tables and create analytics-ready measures: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Schema Foundation: Implemented a robust Star Schema architecture connecting the central 'Smartphone_Usage' fact table with distinct dimension vectors (Age Group, Gender, Addiction Level, and Stress Category).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Key Influencer Analytics: Constructed downstream analytical pathways enabling AI-driven insights (e.g., parsing what primary behaviors drive a user's likelihood to jump from 'Mild' to 'Severe' addiction tiers, notably high gaming hours combined with disrupted sleep blocks averaging less than 6.74 hours).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Native Cross-Filtering: Configured full two-way cross-filtering safety nets across report sub-tabs ('Visualizations', 'Dashboards', 'Report1', 'Report2') ensuring visual synchronization.</w:t>
            </w:r>
          </w:p>
        </w:tc>
      </w:tr>
      <w:tr w:rsidR="00AD49E0" w:rsidRPr="00B6789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b/>
                <w:sz w:val="20"/>
                <w:szCs w:val="20"/>
              </w:rPr>
              <w:t>Save Processed Data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49E0" w:rsidRPr="00B67897" w:rsidRDefault="00AE265E">
            <w:pPr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97">
              <w:rPr>
                <w:rFonts w:ascii="Times New Roman" w:hAnsi="Times New Roman" w:cs="Times New Roman"/>
                <w:sz w:val="20"/>
                <w:szCs w:val="20"/>
              </w:rPr>
              <w:t>Save the cleaned and processed data for future downstream usage: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Deployment-Ready Assets: Exported unified, preprocessed datasets directly back into OneLake catalogs and optimized local database servers.</w:t>
            </w:r>
            <w:r w:rsidRPr="00B67897">
              <w:rPr>
                <w:rFonts w:ascii="Times New Roman" w:hAnsi="Times New Roman" w:cs="Times New Roman"/>
                <w:sz w:val="20"/>
                <w:szCs w:val="20"/>
              </w:rPr>
              <w:br/>
              <w:t>• Data Lineage Integrity: Established automated data refresh loops ensuring upstream telemetry collection aligns continuously with live Power BI visualizations without corrupting core analytical measures.</w:t>
            </w:r>
          </w:p>
        </w:tc>
      </w:tr>
    </w:tbl>
    <w:p w:rsidR="00AE265E" w:rsidRPr="00B67897" w:rsidRDefault="00AE265E">
      <w:pPr>
        <w:rPr>
          <w:rFonts w:ascii="Times New Roman" w:hAnsi="Times New Roman" w:cs="Times New Roman"/>
          <w:sz w:val="20"/>
          <w:szCs w:val="20"/>
        </w:rPr>
      </w:pPr>
    </w:p>
    <w:sectPr w:rsidR="00AE265E" w:rsidRPr="00B678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6E6"/>
    <w:rsid w:val="00AA1D8D"/>
    <w:rsid w:val="00AD49E0"/>
    <w:rsid w:val="00AE265E"/>
    <w:rsid w:val="00B47730"/>
    <w:rsid w:val="00B678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9A12F1-5AAB-4FA4-84E5-BB6563C1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E58850-D250-4B3C-9D1F-D3C3D718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pravallikaangalakuduru@gmail.com</cp:lastModifiedBy>
  <cp:revision>3</cp:revision>
  <dcterms:created xsi:type="dcterms:W3CDTF">2026-09-19T12:26:00Z</dcterms:created>
  <dcterms:modified xsi:type="dcterms:W3CDTF">2026-09-19T12:42:00Z</dcterms:modified>
  <cp:category/>
</cp:coreProperties>
</file>