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CardDemo (aws-samples/aws-mainframe-modernization-carddemo)</w:t>
      </w:r>
    </w:p>
    <w:p>
      <w:pPr>
        <w:spacing w:after="200"/>
      </w:pPr>
      <w:r>
        <w:rPr>
          <w:rFonts w:ascii="Calibri" w:cs="Calibri" w:eastAsia="Calibri" w:hAnsi="Calibri"/>
          <w:color w:val="595959"/>
          <w:sz w:val="30"/>
          <w:szCs w:val="30"/>
        </w:rPr>
        <w:t xml:space="preserve">Security, Performance &amp; Code Quality Review</w:t>
      </w:r>
    </w:p>
    <w:p>
      <w:pPr>
        <w:spacing w:after="120"/>
      </w:pPr>
      <w:r>
        <w:rPr>
          <w:rFonts w:ascii="Calibri" w:cs="Calibri" w:eastAsia="Calibri" w:hAnsi="Calibri"/>
          <w:color w:val="595959"/>
          <w:sz w:val="18"/>
          <w:szCs w:val="18"/>
        </w:rPr>
        <w:t xml:space="preserve">Prepared for: pravallika.chejerla@himitsulab.com    |    Date: July 28, 2026</w:t>
      </w:r>
    </w:p>
    <w:p>
      <w:pPr>
        <w:pBdr>
          <w:bottom w:val="single" w:color="1F3864" w:sz="8" w:space="4"/>
        </w:pBdr>
        <w:spacing w:after="260"/>
      </w:pPr>
    </w:p>
    <w:p>
      <w:pPr>
        <w:pStyle w:val="Heading1"/>
        <w:spacing w:after="140" w:before="280"/>
      </w:pPr>
      <w:r>
        <w:rPr>
          <w:rFonts w:ascii="Calibri" w:cs="Calibri" w:eastAsia="Calibri" w:hAnsi="Calibri"/>
          <w:b/>
          <w:bCs/>
          <w:color w:val="1F3864"/>
        </w:rPr>
        <w:t xml:space="preserve">Scope &amp; Methodology</w:t>
      </w:r>
    </w:p>
    <w:p>
      <w:pPr>
        <w:spacing w:after="120"/>
      </w:pPr>
      <w:r>
        <w:rPr>
          <w:rFonts w:ascii="Calibri" w:cs="Calibri" w:eastAsia="Calibri" w:hAnsi="Calibri"/>
          <w:sz w:val="22"/>
          <w:szCs w:val="22"/>
        </w:rPr>
        <w:t xml:space="preserve">This review covers the AWS Mainframe Modernization CardDemo sample application (github.com/aws-samples/aws-mainframe-modernization-carddemo), a COBOL/CICS/BMS/JCL credit-card demo running on VSAM and DB2. The repository was cloned fresh and manually reviewed by reading the online signon, user-administration, batch transaction-posting, and interest-calculation programs, plus the DB2 variant and the deployment scripts.</w:t>
      </w:r>
    </w:p>
    <w:p>
      <w:pPr>
        <w:spacing w:after="120"/>
      </w:pPr>
      <w:r>
        <w:rPr>
          <w:rFonts w:ascii="Calibri" w:cs="Calibri" w:eastAsia="Calibri" w:hAnsi="Calibri"/>
          <w:sz w:val="22"/>
          <w:szCs w:val="22"/>
        </w:rPr>
        <w:t xml:space="preserve">Two kinds of findings are reported below and are clearly labeled throughout:</w:t>
      </w:r>
    </w:p>
    <w:p>
      <w:pPr>
        <w:spacing w:after="120"/>
      </w:pPr>
      <w:r>
        <w:rPr>
          <w:rFonts w:ascii="Calibri" w:cs="Calibri" w:eastAsia="Calibri" w:hAnsi="Calibri"/>
          <w:b/>
          <w:bCs/>
          <w:sz w:val="22"/>
          <w:szCs w:val="22"/>
        </w:rPr>
        <w:t xml:space="preserve">Existing (R1–R9): </w:t>
      </w:r>
      <w:r>
        <w:rPr>
          <w:rFonts w:ascii="Calibri" w:cs="Calibri" w:eastAsia="Calibri" w:hAnsi="Calibri"/>
          <w:sz w:val="22"/>
          <w:szCs w:val="22"/>
        </w:rPr>
        <w:t xml:space="preserve">real issues already present in the public upstream repository, found by manual code review. This was a representative sample of the ~85 COBOL/copybook modules, not an exhaustive audit of every program.</w:t>
      </w:r>
    </w:p>
    <w:p>
      <w:pPr>
        <w:spacing w:after="120"/>
      </w:pPr>
      <w:r>
        <w:rPr>
          <w:rFonts w:ascii="Calibri" w:cs="Calibri" w:eastAsia="Calibri" w:hAnsi="Calibri"/>
          <w:b/>
          <w:bCs/>
          <w:sz w:val="22"/>
          <w:szCs w:val="22"/>
        </w:rPr>
        <w:t xml:space="preserve">Injected (I1–I7): </w:t>
      </w:r>
      <w:r>
        <w:rPr>
          <w:rFonts w:ascii="Calibri" w:cs="Calibri" w:eastAsia="Calibri" w:hAnsi="Calibri"/>
          <w:sz w:val="22"/>
          <w:szCs w:val="22"/>
        </w:rPr>
        <w:t xml:space="preserve">issues deliberately added to a local copy of the code at your request, for use as a training/detection exercise (e.g. secure-code-review practice, static-analysis tool tuning, or a “find the bug” drill). Every injected change is marked in the source with an </w:t>
      </w:r>
    </w:p>
    <w:p>
      <w:pPr>
        <w:spacing w:after="120"/>
      </w:pPr>
      <w:r>
        <w:rPr>
          <w:rFonts w:ascii="Calibri" w:cs="Calibri" w:eastAsia="Calibri" w:hAnsi="Calibri"/>
          <w:sz w:val="22"/>
          <w:szCs w:val="22"/>
        </w:rPr>
        <w:t xml:space="preserve">comment tag such as </w:t>
      </w:r>
      <w:r>
        <w:rPr>
          <w:rFonts w:ascii="Consolas" w:cs="Consolas" w:eastAsia="Consolas" w:hAnsi="Consolas"/>
          <w:color w:val="C00000"/>
          <w:sz w:val="20"/>
          <w:szCs w:val="20"/>
        </w:rPr>
        <w:t xml:space="preserve">INJECTED-VULN-01</w:t>
      </w:r>
      <w:r>
        <w:rPr>
          <w:rFonts w:ascii="Calibri" w:cs="Calibri" w:eastAsia="Calibri" w:hAnsi="Calibri"/>
          <w:sz w:val="22"/>
          <w:szCs w:val="22"/>
        </w:rPr>
        <w:t xml:space="preserve"> so it can be grepped back out later.</w:t>
      </w:r>
    </w:p>
    <w:p>
      <w:pPr>
        <w:spacing w:after="120"/>
      </w:pPr>
      <w:r>
        <w:rPr>
          <w:rFonts w:ascii="Calibri" w:cs="Calibri" w:eastAsia="Calibri" w:hAnsi="Calibri"/>
          <w:sz w:val="22"/>
          <w:szCs w:val="22"/>
        </w:rPr>
        <w:t xml:space="preserve">Deliverables accompanying this report: a full zip of the modified source tree (carddemo_modified.zip) and a unified diff of only the injected changes (carddemo_injected_issues.diff) against the pristine upstream clone.</w:t>
      </w:r>
    </w:p>
    <w:p>
      <w:pPr>
        <w:pStyle w:val="Heading1"/>
        <w:spacing w:after="140" w:before="280"/>
      </w:pPr>
      <w:r>
        <w:rPr>
          <w:rFonts w:ascii="Calibri" w:cs="Calibri" w:eastAsia="Calibri" w:hAnsi="Calibri"/>
          <w:b/>
          <w:bCs/>
          <w:color w:val="1F3864"/>
        </w:rPr>
        <w:t xml:space="preserve">Summary of Findings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1200"/>
        <w:gridCol w:w="3600"/>
      </w:tblGrid>
      <w:tr>
        <w:trPr>
          <w:tblHeader/>
        </w:trPr>
        <w:tc>
          <w:tcPr>
            <w:tcW w:type="dxa" w:w="2000"/>
            <w:shd w:fill="1F3864" w:val="clear"/>
          </w:tcPr>
          <w:p>
            <w:r>
              <w:rPr>
                <w:rFonts w:ascii="Calibri" w:cs="Calibri" w:eastAsia="Calibri" w:hAnsi="Calibri"/>
                <w:b/>
                <w:bCs/>
                <w:color w:val="FFFFFF"/>
                <w:sz w:val="18"/>
                <w:szCs w:val="18"/>
              </w:rPr>
              <w:t xml:space="preserve">ID</w:t>
            </w:r>
          </w:p>
        </w:tc>
        <w:tc>
          <w:tcPr>
            <w:tcW w:type="dxa" w:w="2000"/>
            <w:shd w:fill="1F3864" w:val="clear"/>
          </w:tcPr>
          <w:p>
            <w:r>
              <w:rPr>
                <w:rFonts w:ascii="Calibri" w:cs="Calibri" w:eastAsia="Calibri" w:hAnsi="Calibri"/>
                <w:b/>
                <w:bCs/>
                <w:color w:val="FFFFFF"/>
                <w:sz w:val="18"/>
                <w:szCs w:val="18"/>
              </w:rPr>
              <w:t xml:space="preserve">Type</w:t>
            </w:r>
          </w:p>
        </w:tc>
        <w:tc>
          <w:tcPr>
            <w:tcW w:type="dxa" w:w="2000"/>
            <w:shd w:fill="1F3864" w:val="clear"/>
          </w:tcPr>
          <w:p>
            <w:r>
              <w:rPr>
                <w:rFonts w:ascii="Calibri" w:cs="Calibri" w:eastAsia="Calibri" w:hAnsi="Calibri"/>
                <w:b/>
                <w:bCs/>
                <w:color w:val="FFFFFF"/>
                <w:sz w:val="18"/>
                <w:szCs w:val="18"/>
              </w:rPr>
              <w:t xml:space="preserve">Category</w:t>
            </w:r>
          </w:p>
        </w:tc>
        <w:tc>
          <w:tcPr>
            <w:tcW w:type="dxa" w:w="2000"/>
            <w:shd w:fill="1F3864" w:val="clear"/>
          </w:tcPr>
          <w:p>
            <w:r>
              <w:rPr>
                <w:rFonts w:ascii="Calibri" w:cs="Calibri" w:eastAsia="Calibri" w:hAnsi="Calibri"/>
                <w:b/>
                <w:bCs/>
                <w:color w:val="FFFFFF"/>
                <w:sz w:val="18"/>
                <w:szCs w:val="18"/>
              </w:rPr>
              <w:t xml:space="preserve">Severity</w:t>
            </w:r>
          </w:p>
        </w:tc>
        <w:tc>
          <w:tcPr>
            <w:tcW w:type="dxa" w:w="2000"/>
            <w:shd w:fill="1F3864" w:val="clear"/>
          </w:tcPr>
          <w:p>
            <w:r>
              <w:rPr>
                <w:rFonts w:ascii="Calibri" w:cs="Calibri" w:eastAsia="Calibri" w:hAnsi="Calibri"/>
                <w:b/>
                <w:bCs/>
                <w:color w:val="FFFFFF"/>
                <w:sz w:val="18"/>
                <w:szCs w:val="18"/>
              </w:rPr>
              <w:t xml:space="preserve">File</w:t>
            </w:r>
          </w:p>
        </w:tc>
      </w:tr>
      <w:tr>
        <w:tc>
          <w:tcPr>
            <w:tcW w:type="dxa" w:w="1000"/>
            <w:shd w:fill="FFFFFF" w:val="clear"/>
          </w:tcPr>
          <w:p>
            <w:r>
              <w:rPr>
                <w:rFonts w:ascii="Calibri" w:cs="Calibri" w:eastAsia="Calibri" w:hAnsi="Calibri"/>
                <w:b w:val="false"/>
                <w:bCs w:val="false"/>
                <w:color w:val="000000"/>
                <w:sz w:val="18"/>
                <w:szCs w:val="18"/>
              </w:rPr>
              <w:t xml:space="preserve">R1</w:t>
            </w:r>
          </w:p>
        </w:tc>
        <w:tc>
          <w:tcPr>
            <w:tcW w:type="dxa" w:w="1600"/>
            <w:shd w:fill="FFFFFF" w:val="clear"/>
          </w:tcPr>
          <w:p>
            <w:r>
              <w:rPr>
                <w:rFonts w:ascii="Calibri" w:cs="Calibri" w:eastAsia="Calibri" w:hAnsi="Calibri"/>
                <w:b w:val="false"/>
                <w:bCs w:val="false"/>
                <w:color w:val="000000"/>
                <w:sz w:val="18"/>
                <w:szCs w:val="18"/>
              </w:rPr>
              <w:t xml:space="preserve">Existing</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C55A11"/>
                <w:sz w:val="18"/>
                <w:szCs w:val="18"/>
              </w:rPr>
              <w:t xml:space="preserve">High</w:t>
            </w:r>
          </w:p>
        </w:tc>
        <w:tc>
          <w:tcPr>
            <w:tcW w:type="dxa" w:w="3600"/>
            <w:shd w:fill="FFFFFF" w:val="clear"/>
          </w:tcPr>
          <w:p>
            <w:r>
              <w:rPr>
                <w:rFonts w:ascii="Calibri" w:cs="Calibri" w:eastAsia="Calibri" w:hAnsi="Calibri"/>
                <w:b w:val="false"/>
                <w:bCs w:val="false"/>
                <w:color w:val="000000"/>
                <w:sz w:val="18"/>
                <w:szCs w:val="18"/>
              </w:rPr>
              <w:t xml:space="preserve">app/cpy/CSUSR01Y.cpy, app/cbl/COSGN00C.cbl</w:t>
            </w:r>
          </w:p>
        </w:tc>
      </w:tr>
      <w:tr>
        <w:tc>
          <w:tcPr>
            <w:tcW w:type="dxa" w:w="1000"/>
            <w:shd w:fill="FFFFFF" w:val="clear"/>
          </w:tcPr>
          <w:p>
            <w:r>
              <w:rPr>
                <w:rFonts w:ascii="Calibri" w:cs="Calibri" w:eastAsia="Calibri" w:hAnsi="Calibri"/>
                <w:b w:val="false"/>
                <w:bCs w:val="false"/>
                <w:color w:val="000000"/>
                <w:sz w:val="18"/>
                <w:szCs w:val="18"/>
              </w:rPr>
              <w:t xml:space="preserve">R2</w:t>
            </w:r>
          </w:p>
        </w:tc>
        <w:tc>
          <w:tcPr>
            <w:tcW w:type="dxa" w:w="1600"/>
            <w:shd w:fill="FFFFFF" w:val="clear"/>
          </w:tcPr>
          <w:p>
            <w:r>
              <w:rPr>
                <w:rFonts w:ascii="Calibri" w:cs="Calibri" w:eastAsia="Calibri" w:hAnsi="Calibri"/>
                <w:b w:val="false"/>
                <w:bCs w:val="false"/>
                <w:color w:val="000000"/>
                <w:sz w:val="18"/>
                <w:szCs w:val="18"/>
              </w:rPr>
              <w:t xml:space="preserve">Existing</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B45309"/>
                <w:sz w:val="18"/>
                <w:szCs w:val="18"/>
              </w:rPr>
              <w:t xml:space="preserve">Medium</w:t>
            </w:r>
          </w:p>
        </w:tc>
        <w:tc>
          <w:tcPr>
            <w:tcW w:type="dxa" w:w="3600"/>
            <w:shd w:fill="FFFFFF" w:val="clear"/>
          </w:tcPr>
          <w:p>
            <w:r>
              <w:rPr>
                <w:rFonts w:ascii="Calibri" w:cs="Calibri" w:eastAsia="Calibri" w:hAnsi="Calibri"/>
                <w:b w:val="false"/>
                <w:bCs w:val="false"/>
                <w:color w:val="000000"/>
                <w:sz w:val="18"/>
                <w:szCs w:val="18"/>
              </w:rPr>
              <w:t xml:space="preserve">app/cbl/COSGN00C.cbl</w:t>
            </w:r>
          </w:p>
        </w:tc>
      </w:tr>
      <w:tr>
        <w:tc>
          <w:tcPr>
            <w:tcW w:type="dxa" w:w="1000"/>
            <w:shd w:fill="FFFFFF" w:val="clear"/>
          </w:tcPr>
          <w:p>
            <w:r>
              <w:rPr>
                <w:rFonts w:ascii="Calibri" w:cs="Calibri" w:eastAsia="Calibri" w:hAnsi="Calibri"/>
                <w:b w:val="false"/>
                <w:bCs w:val="false"/>
                <w:color w:val="000000"/>
                <w:sz w:val="18"/>
                <w:szCs w:val="18"/>
              </w:rPr>
              <w:t xml:space="preserve">R3</w:t>
            </w:r>
          </w:p>
        </w:tc>
        <w:tc>
          <w:tcPr>
            <w:tcW w:type="dxa" w:w="1600"/>
            <w:shd w:fill="FFFFFF" w:val="clear"/>
          </w:tcPr>
          <w:p>
            <w:r>
              <w:rPr>
                <w:rFonts w:ascii="Calibri" w:cs="Calibri" w:eastAsia="Calibri" w:hAnsi="Calibri"/>
                <w:b w:val="false"/>
                <w:bCs w:val="false"/>
                <w:color w:val="000000"/>
                <w:sz w:val="18"/>
                <w:szCs w:val="18"/>
              </w:rPr>
              <w:t xml:space="preserve">Existing</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C55A11"/>
                <w:sz w:val="18"/>
                <w:szCs w:val="18"/>
              </w:rPr>
              <w:t xml:space="preserve">High</w:t>
            </w:r>
          </w:p>
        </w:tc>
        <w:tc>
          <w:tcPr>
            <w:tcW w:type="dxa" w:w="3600"/>
            <w:shd w:fill="FFFFFF" w:val="clear"/>
          </w:tcPr>
          <w:p>
            <w:r>
              <w:rPr>
                <w:rFonts w:ascii="Calibri" w:cs="Calibri" w:eastAsia="Calibri" w:hAnsi="Calibri"/>
                <w:b w:val="false"/>
                <w:bCs w:val="false"/>
                <w:color w:val="000000"/>
                <w:sz w:val="18"/>
                <w:szCs w:val="18"/>
              </w:rPr>
              <w:t xml:space="preserve">app/cbl/COSGN00C.cbl</w:t>
            </w:r>
          </w:p>
        </w:tc>
      </w:tr>
      <w:tr>
        <w:tc>
          <w:tcPr>
            <w:tcW w:type="dxa" w:w="1000"/>
            <w:shd w:fill="FFFFFF" w:val="clear"/>
          </w:tcPr>
          <w:p>
            <w:r>
              <w:rPr>
                <w:rFonts w:ascii="Calibri" w:cs="Calibri" w:eastAsia="Calibri" w:hAnsi="Calibri"/>
                <w:b w:val="false"/>
                <w:bCs w:val="false"/>
                <w:color w:val="000000"/>
                <w:sz w:val="18"/>
                <w:szCs w:val="18"/>
              </w:rPr>
              <w:t xml:space="preserve">R4</w:t>
            </w:r>
          </w:p>
        </w:tc>
        <w:tc>
          <w:tcPr>
            <w:tcW w:type="dxa" w:w="1600"/>
            <w:shd w:fill="FFFFFF" w:val="clear"/>
          </w:tcPr>
          <w:p>
            <w:r>
              <w:rPr>
                <w:rFonts w:ascii="Calibri" w:cs="Calibri" w:eastAsia="Calibri" w:hAnsi="Calibri"/>
                <w:b w:val="false"/>
                <w:bCs w:val="false"/>
                <w:color w:val="000000"/>
                <w:sz w:val="18"/>
                <w:szCs w:val="18"/>
              </w:rPr>
              <w:t xml:space="preserve">Existing</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C55A11"/>
                <w:sz w:val="18"/>
                <w:szCs w:val="18"/>
              </w:rPr>
              <w:t xml:space="preserve">High</w:t>
            </w:r>
          </w:p>
        </w:tc>
        <w:tc>
          <w:tcPr>
            <w:tcW w:type="dxa" w:w="3600"/>
            <w:shd w:fill="FFFFFF" w:val="clear"/>
          </w:tcPr>
          <w:p>
            <w:r>
              <w:rPr>
                <w:rFonts w:ascii="Calibri" w:cs="Calibri" w:eastAsia="Calibri" w:hAnsi="Calibri"/>
                <w:b w:val="false"/>
                <w:bCs w:val="false"/>
                <w:color w:val="000000"/>
                <w:sz w:val="18"/>
                <w:szCs w:val="18"/>
              </w:rPr>
              <w:t xml:space="preserve">app/cbl/COUSR01C.cbl</w:t>
            </w:r>
          </w:p>
        </w:tc>
      </w:tr>
      <w:tr>
        <w:tc>
          <w:tcPr>
            <w:tcW w:type="dxa" w:w="1000"/>
            <w:shd w:fill="FFFFFF" w:val="clear"/>
          </w:tcPr>
          <w:p>
            <w:r>
              <w:rPr>
                <w:rFonts w:ascii="Calibri" w:cs="Calibri" w:eastAsia="Calibri" w:hAnsi="Calibri"/>
                <w:b w:val="false"/>
                <w:bCs w:val="false"/>
                <w:color w:val="000000"/>
                <w:sz w:val="18"/>
                <w:szCs w:val="18"/>
              </w:rPr>
              <w:t xml:space="preserve">R5</w:t>
            </w:r>
          </w:p>
        </w:tc>
        <w:tc>
          <w:tcPr>
            <w:tcW w:type="dxa" w:w="1600"/>
            <w:shd w:fill="FFFFFF" w:val="clear"/>
          </w:tcPr>
          <w:p>
            <w:r>
              <w:rPr>
                <w:rFonts w:ascii="Calibri" w:cs="Calibri" w:eastAsia="Calibri" w:hAnsi="Calibri"/>
                <w:b w:val="false"/>
                <w:bCs w:val="false"/>
                <w:color w:val="000000"/>
                <w:sz w:val="18"/>
                <w:szCs w:val="18"/>
              </w:rPr>
              <w:t xml:space="preserve">Existing</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B45309"/>
                <w:sz w:val="18"/>
                <w:szCs w:val="18"/>
              </w:rPr>
              <w:t xml:space="preserve">Medium</w:t>
            </w:r>
          </w:p>
        </w:tc>
        <w:tc>
          <w:tcPr>
            <w:tcW w:type="dxa" w:w="3600"/>
            <w:shd w:fill="FFFFFF" w:val="clear"/>
          </w:tcPr>
          <w:p>
            <w:r>
              <w:rPr>
                <w:rFonts w:ascii="Calibri" w:cs="Calibri" w:eastAsia="Calibri" w:hAnsi="Calibri"/>
                <w:b w:val="false"/>
                <w:bCs w:val="false"/>
                <w:color w:val="000000"/>
                <w:sz w:val="18"/>
                <w:szCs w:val="18"/>
              </w:rPr>
              <w:t xml:space="preserve">app/cbl/COUSR01C.cbl</w:t>
            </w:r>
          </w:p>
        </w:tc>
      </w:tr>
      <w:tr>
        <w:tc>
          <w:tcPr>
            <w:tcW w:type="dxa" w:w="1000"/>
            <w:shd w:fill="FFFFFF" w:val="clear"/>
          </w:tcPr>
          <w:p>
            <w:r>
              <w:rPr>
                <w:rFonts w:ascii="Calibri" w:cs="Calibri" w:eastAsia="Calibri" w:hAnsi="Calibri"/>
                <w:b w:val="false"/>
                <w:bCs w:val="false"/>
                <w:color w:val="000000"/>
                <w:sz w:val="18"/>
                <w:szCs w:val="18"/>
              </w:rPr>
              <w:t xml:space="preserve">R6</w:t>
            </w:r>
          </w:p>
        </w:tc>
        <w:tc>
          <w:tcPr>
            <w:tcW w:type="dxa" w:w="1600"/>
            <w:shd w:fill="FFFFFF" w:val="clear"/>
          </w:tcPr>
          <w:p>
            <w:r>
              <w:rPr>
                <w:rFonts w:ascii="Calibri" w:cs="Calibri" w:eastAsia="Calibri" w:hAnsi="Calibri"/>
                <w:b w:val="false"/>
                <w:bCs w:val="false"/>
                <w:color w:val="000000"/>
                <w:sz w:val="18"/>
                <w:szCs w:val="18"/>
              </w:rPr>
              <w:t xml:space="preserve">Existing</w:t>
            </w:r>
          </w:p>
        </w:tc>
        <w:tc>
          <w:tcPr>
            <w:tcW w:type="dxa" w:w="2200"/>
            <w:shd w:fill="FFFFFF" w:val="clear"/>
          </w:tcPr>
          <w:p>
            <w:r>
              <w:rPr>
                <w:rFonts w:ascii="Calibri" w:cs="Calibri" w:eastAsia="Calibri" w:hAnsi="Calibri"/>
                <w:b w:val="false"/>
                <w:bCs w:val="false"/>
                <w:color w:val="000000"/>
                <w:sz w:val="18"/>
                <w:szCs w:val="18"/>
              </w:rPr>
              <w:t xml:space="preserve">Bug</w:t>
            </w:r>
          </w:p>
        </w:tc>
        <w:tc>
          <w:tcPr>
            <w:tcW w:type="dxa" w:w="1200"/>
            <w:shd w:fill="FFFFFF" w:val="clear"/>
          </w:tcPr>
          <w:p>
            <w:r>
              <w:rPr>
                <w:rFonts w:ascii="Calibri" w:cs="Calibri" w:eastAsia="Calibri" w:hAnsi="Calibri"/>
                <w:b/>
                <w:bCs/>
                <w:color w:val="B45309"/>
                <w:sz w:val="18"/>
                <w:szCs w:val="18"/>
              </w:rPr>
              <w:t xml:space="preserve">Medium</w:t>
            </w:r>
          </w:p>
        </w:tc>
        <w:tc>
          <w:tcPr>
            <w:tcW w:type="dxa" w:w="3600"/>
            <w:shd w:fill="FFFFFF" w:val="clear"/>
          </w:tcPr>
          <w:p>
            <w:r>
              <w:rPr>
                <w:rFonts w:ascii="Calibri" w:cs="Calibri" w:eastAsia="Calibri" w:hAnsi="Calibri"/>
                <w:b w:val="false"/>
                <w:bCs w:val="false"/>
                <w:color w:val="000000"/>
                <w:sz w:val="18"/>
                <w:szCs w:val="18"/>
              </w:rPr>
              <w:t xml:space="preserve">app/cbl/CBACT04C.cbl</w:t>
            </w:r>
          </w:p>
        </w:tc>
      </w:tr>
      <w:tr>
        <w:tc>
          <w:tcPr>
            <w:tcW w:type="dxa" w:w="1000"/>
            <w:shd w:fill="FFFFFF" w:val="clear"/>
          </w:tcPr>
          <w:p>
            <w:r>
              <w:rPr>
                <w:rFonts w:ascii="Calibri" w:cs="Calibri" w:eastAsia="Calibri" w:hAnsi="Calibri"/>
                <w:b w:val="false"/>
                <w:bCs w:val="false"/>
                <w:color w:val="000000"/>
                <w:sz w:val="18"/>
                <w:szCs w:val="18"/>
              </w:rPr>
              <w:t xml:space="preserve">R7</w:t>
            </w:r>
          </w:p>
        </w:tc>
        <w:tc>
          <w:tcPr>
            <w:tcW w:type="dxa" w:w="1600"/>
            <w:shd w:fill="FFFFFF" w:val="clear"/>
          </w:tcPr>
          <w:p>
            <w:r>
              <w:rPr>
                <w:rFonts w:ascii="Calibri" w:cs="Calibri" w:eastAsia="Calibri" w:hAnsi="Calibri"/>
                <w:b w:val="false"/>
                <w:bCs w:val="false"/>
                <w:color w:val="000000"/>
                <w:sz w:val="18"/>
                <w:szCs w:val="18"/>
              </w:rPr>
              <w:t xml:space="preserve">Existing</w:t>
            </w:r>
          </w:p>
        </w:tc>
        <w:tc>
          <w:tcPr>
            <w:tcW w:type="dxa" w:w="2200"/>
            <w:shd w:fill="FFFFFF" w:val="clear"/>
          </w:tcPr>
          <w:p>
            <w:r>
              <w:rPr>
                <w:rFonts w:ascii="Calibri" w:cs="Calibri" w:eastAsia="Calibri" w:hAnsi="Calibri"/>
                <w:b w:val="false"/>
                <w:bCs w:val="false"/>
                <w:color w:val="000000"/>
                <w:sz w:val="18"/>
                <w:szCs w:val="18"/>
              </w:rPr>
              <w:t xml:space="preserve">Bug</w:t>
            </w:r>
          </w:p>
        </w:tc>
        <w:tc>
          <w:tcPr>
            <w:tcW w:type="dxa" w:w="1200"/>
            <w:shd w:fill="FFFFFF" w:val="clear"/>
          </w:tcPr>
          <w:p>
            <w:r>
              <w:rPr>
                <w:rFonts w:ascii="Calibri" w:cs="Calibri" w:eastAsia="Calibri" w:hAnsi="Calibri"/>
                <w:b/>
                <w:bCs/>
                <w:color w:val="B45309"/>
                <w:sz w:val="18"/>
                <w:szCs w:val="18"/>
              </w:rPr>
              <w:t xml:space="preserve">Medium</w:t>
            </w:r>
          </w:p>
        </w:tc>
        <w:tc>
          <w:tcPr>
            <w:tcW w:type="dxa" w:w="3600"/>
            <w:shd w:fill="FFFFFF" w:val="clear"/>
          </w:tcPr>
          <w:p>
            <w:r>
              <w:rPr>
                <w:rFonts w:ascii="Calibri" w:cs="Calibri" w:eastAsia="Calibri" w:hAnsi="Calibri"/>
                <w:b w:val="false"/>
                <w:bCs w:val="false"/>
                <w:color w:val="000000"/>
                <w:sz w:val="18"/>
                <w:szCs w:val="18"/>
              </w:rPr>
              <w:t xml:space="preserve">app/cbl/CBACT04C.cbl</w:t>
            </w:r>
          </w:p>
        </w:tc>
      </w:tr>
      <w:tr>
        <w:tc>
          <w:tcPr>
            <w:tcW w:type="dxa" w:w="1000"/>
            <w:shd w:fill="FFFFFF" w:val="clear"/>
          </w:tcPr>
          <w:p>
            <w:r>
              <w:rPr>
                <w:rFonts w:ascii="Calibri" w:cs="Calibri" w:eastAsia="Calibri" w:hAnsi="Calibri"/>
                <w:b w:val="false"/>
                <w:bCs w:val="false"/>
                <w:color w:val="000000"/>
                <w:sz w:val="18"/>
                <w:szCs w:val="18"/>
              </w:rPr>
              <w:t xml:space="preserve">R8</w:t>
            </w:r>
          </w:p>
        </w:tc>
        <w:tc>
          <w:tcPr>
            <w:tcW w:type="dxa" w:w="1600"/>
            <w:shd w:fill="FFFFFF" w:val="clear"/>
          </w:tcPr>
          <w:p>
            <w:r>
              <w:rPr>
                <w:rFonts w:ascii="Calibri" w:cs="Calibri" w:eastAsia="Calibri" w:hAnsi="Calibri"/>
                <w:b w:val="false"/>
                <w:bCs w:val="false"/>
                <w:color w:val="000000"/>
                <w:sz w:val="18"/>
                <w:szCs w:val="18"/>
              </w:rPr>
              <w:t xml:space="preserve">Existing</w:t>
            </w:r>
          </w:p>
        </w:tc>
        <w:tc>
          <w:tcPr>
            <w:tcW w:type="dxa" w:w="2200"/>
            <w:shd w:fill="FFFFFF" w:val="clear"/>
          </w:tcPr>
          <w:p>
            <w:r>
              <w:rPr>
                <w:rFonts w:ascii="Calibri" w:cs="Calibri" w:eastAsia="Calibri" w:hAnsi="Calibri"/>
                <w:b w:val="false"/>
                <w:bCs w:val="false"/>
                <w:color w:val="000000"/>
                <w:sz w:val="18"/>
                <w:szCs w:val="18"/>
              </w:rPr>
              <w:t xml:space="preserve">Bug / Performance</w:t>
            </w:r>
          </w:p>
        </w:tc>
        <w:tc>
          <w:tcPr>
            <w:tcW w:type="dxa" w:w="1200"/>
            <w:shd w:fill="FFFFFF" w:val="clear"/>
          </w:tcPr>
          <w:p>
            <w:r>
              <w:rPr>
                <w:rFonts w:ascii="Calibri" w:cs="Calibri" w:eastAsia="Calibri" w:hAnsi="Calibri"/>
                <w:b/>
                <w:bCs/>
                <w:color w:val="C55A11"/>
                <w:sz w:val="18"/>
                <w:szCs w:val="18"/>
              </w:rPr>
              <w:t xml:space="preserve">High</w:t>
            </w:r>
          </w:p>
        </w:tc>
        <w:tc>
          <w:tcPr>
            <w:tcW w:type="dxa" w:w="3600"/>
            <w:shd w:fill="FFFFFF" w:val="clear"/>
          </w:tcPr>
          <w:p>
            <w:r>
              <w:rPr>
                <w:rFonts w:ascii="Calibri" w:cs="Calibri" w:eastAsia="Calibri" w:hAnsi="Calibri"/>
                <w:b w:val="false"/>
                <w:bCs w:val="false"/>
                <w:color w:val="000000"/>
                <w:sz w:val="18"/>
                <w:szCs w:val="18"/>
              </w:rPr>
              <w:t xml:space="preserve">app/cbl/CBTRN02C.cbl</w:t>
            </w:r>
          </w:p>
        </w:tc>
      </w:tr>
      <w:tr>
        <w:tc>
          <w:tcPr>
            <w:tcW w:type="dxa" w:w="1000"/>
            <w:shd w:fill="FFFFFF" w:val="clear"/>
          </w:tcPr>
          <w:p>
            <w:r>
              <w:rPr>
                <w:rFonts w:ascii="Calibri" w:cs="Calibri" w:eastAsia="Calibri" w:hAnsi="Calibri"/>
                <w:b w:val="false"/>
                <w:bCs w:val="false"/>
                <w:color w:val="000000"/>
                <w:sz w:val="18"/>
                <w:szCs w:val="18"/>
              </w:rPr>
              <w:t xml:space="preserve">R9</w:t>
            </w:r>
          </w:p>
        </w:tc>
        <w:tc>
          <w:tcPr>
            <w:tcW w:type="dxa" w:w="1600"/>
            <w:shd w:fill="FFFFFF" w:val="clear"/>
          </w:tcPr>
          <w:p>
            <w:r>
              <w:rPr>
                <w:rFonts w:ascii="Calibri" w:cs="Calibri" w:eastAsia="Calibri" w:hAnsi="Calibri"/>
                <w:b w:val="false"/>
                <w:bCs w:val="false"/>
                <w:color w:val="000000"/>
                <w:sz w:val="18"/>
                <w:szCs w:val="18"/>
              </w:rPr>
              <w:t xml:space="preserve">Existing</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B45309"/>
                <w:sz w:val="18"/>
                <w:szCs w:val="18"/>
              </w:rPr>
              <w:t xml:space="preserve">Medium</w:t>
            </w:r>
          </w:p>
        </w:tc>
        <w:tc>
          <w:tcPr>
            <w:tcW w:type="dxa" w:w="3600"/>
            <w:shd w:fill="FFFFFF" w:val="clear"/>
          </w:tcPr>
          <w:p>
            <w:r>
              <w:rPr>
                <w:rFonts w:ascii="Calibri" w:cs="Calibri" w:eastAsia="Calibri" w:hAnsi="Calibri"/>
                <w:b w:val="false"/>
                <w:bCs w:val="false"/>
                <w:color w:val="000000"/>
                <w:sz w:val="18"/>
                <w:szCs w:val="18"/>
              </w:rPr>
              <w:t xml:space="preserve">scripts/remote_compile.sh, remote_submit.sh, upld_module.sh, remote_refresh.sh</w:t>
            </w:r>
          </w:p>
        </w:tc>
      </w:tr>
      <w:tr>
        <w:tc>
          <w:tcPr>
            <w:tcW w:type="dxa" w:w="1000"/>
            <w:shd w:fill="FFFFFF" w:val="clear"/>
          </w:tcPr>
          <w:p>
            <w:r>
              <w:rPr>
                <w:rFonts w:ascii="Calibri" w:cs="Calibri" w:eastAsia="Calibri" w:hAnsi="Calibri"/>
                <w:b w:val="false"/>
                <w:bCs w:val="false"/>
                <w:color w:val="000000"/>
                <w:sz w:val="18"/>
                <w:szCs w:val="18"/>
              </w:rPr>
              <w:t xml:space="preserve">I1</w:t>
            </w:r>
          </w:p>
        </w:tc>
        <w:tc>
          <w:tcPr>
            <w:tcW w:type="dxa" w:w="1600"/>
            <w:shd w:fill="FCE4E4" w:val="clear"/>
          </w:tcPr>
          <w:p>
            <w:r>
              <w:rPr>
                <w:rFonts w:ascii="Calibri" w:cs="Calibri" w:eastAsia="Calibri" w:hAnsi="Calibri"/>
                <w:b w:val="false"/>
                <w:bCs w:val="false"/>
                <w:color w:val="000000"/>
                <w:sz w:val="18"/>
                <w:szCs w:val="18"/>
              </w:rPr>
              <w:t xml:space="preserve">Injected</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C00000"/>
                <w:sz w:val="18"/>
                <w:szCs w:val="18"/>
              </w:rPr>
              <w:t xml:space="preserve">Critical</w:t>
            </w:r>
          </w:p>
        </w:tc>
        <w:tc>
          <w:tcPr>
            <w:tcW w:type="dxa" w:w="3600"/>
            <w:shd w:fill="FFFFFF" w:val="clear"/>
          </w:tcPr>
          <w:p>
            <w:r>
              <w:rPr>
                <w:rFonts w:ascii="Calibri" w:cs="Calibri" w:eastAsia="Calibri" w:hAnsi="Calibri"/>
                <w:b w:val="false"/>
                <w:bCs w:val="false"/>
                <w:color w:val="000000"/>
                <w:sz w:val="18"/>
                <w:szCs w:val="18"/>
              </w:rPr>
              <w:t xml:space="preserve">app/cbl/COSGN00C.cbl</w:t>
            </w:r>
          </w:p>
        </w:tc>
      </w:tr>
      <w:tr>
        <w:tc>
          <w:tcPr>
            <w:tcW w:type="dxa" w:w="1000"/>
            <w:shd w:fill="FFFFFF" w:val="clear"/>
          </w:tcPr>
          <w:p>
            <w:r>
              <w:rPr>
                <w:rFonts w:ascii="Calibri" w:cs="Calibri" w:eastAsia="Calibri" w:hAnsi="Calibri"/>
                <w:b w:val="false"/>
                <w:bCs w:val="false"/>
                <w:color w:val="000000"/>
                <w:sz w:val="18"/>
                <w:szCs w:val="18"/>
              </w:rPr>
              <w:t xml:space="preserve">I2</w:t>
            </w:r>
          </w:p>
        </w:tc>
        <w:tc>
          <w:tcPr>
            <w:tcW w:type="dxa" w:w="1600"/>
            <w:shd w:fill="FCE4E4" w:val="clear"/>
          </w:tcPr>
          <w:p>
            <w:r>
              <w:rPr>
                <w:rFonts w:ascii="Calibri" w:cs="Calibri" w:eastAsia="Calibri" w:hAnsi="Calibri"/>
                <w:b w:val="false"/>
                <w:bCs w:val="false"/>
                <w:color w:val="000000"/>
                <w:sz w:val="18"/>
                <w:szCs w:val="18"/>
              </w:rPr>
              <w:t xml:space="preserve">Injected</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C55A11"/>
                <w:sz w:val="18"/>
                <w:szCs w:val="18"/>
              </w:rPr>
              <w:t xml:space="preserve">High</w:t>
            </w:r>
          </w:p>
        </w:tc>
        <w:tc>
          <w:tcPr>
            <w:tcW w:type="dxa" w:w="3600"/>
            <w:shd w:fill="FFFFFF" w:val="clear"/>
          </w:tcPr>
          <w:p>
            <w:r>
              <w:rPr>
                <w:rFonts w:ascii="Calibri" w:cs="Calibri" w:eastAsia="Calibri" w:hAnsi="Calibri"/>
                <w:b w:val="false"/>
                <w:bCs w:val="false"/>
                <w:color w:val="000000"/>
                <w:sz w:val="18"/>
                <w:szCs w:val="18"/>
              </w:rPr>
              <w:t xml:space="preserve">app/cbl/COSGN00C.cbl</w:t>
            </w:r>
          </w:p>
        </w:tc>
      </w:tr>
      <w:tr>
        <w:tc>
          <w:tcPr>
            <w:tcW w:type="dxa" w:w="1000"/>
            <w:shd w:fill="FFFFFF" w:val="clear"/>
          </w:tcPr>
          <w:p>
            <w:r>
              <w:rPr>
                <w:rFonts w:ascii="Calibri" w:cs="Calibri" w:eastAsia="Calibri" w:hAnsi="Calibri"/>
                <w:b w:val="false"/>
                <w:bCs w:val="false"/>
                <w:color w:val="000000"/>
                <w:sz w:val="18"/>
                <w:szCs w:val="18"/>
              </w:rPr>
              <w:t xml:space="preserve">I3</w:t>
            </w:r>
          </w:p>
        </w:tc>
        <w:tc>
          <w:tcPr>
            <w:tcW w:type="dxa" w:w="1600"/>
            <w:shd w:fill="FCE4E4" w:val="clear"/>
          </w:tcPr>
          <w:p>
            <w:r>
              <w:rPr>
                <w:rFonts w:ascii="Calibri" w:cs="Calibri" w:eastAsia="Calibri" w:hAnsi="Calibri"/>
                <w:b w:val="false"/>
                <w:bCs w:val="false"/>
                <w:color w:val="000000"/>
                <w:sz w:val="18"/>
                <w:szCs w:val="18"/>
              </w:rPr>
              <w:t xml:space="preserve">Injected</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C00000"/>
                <w:sz w:val="18"/>
                <w:szCs w:val="18"/>
              </w:rPr>
              <w:t xml:space="preserve">Critical</w:t>
            </w:r>
          </w:p>
        </w:tc>
        <w:tc>
          <w:tcPr>
            <w:tcW w:type="dxa" w:w="3600"/>
            <w:shd w:fill="FFFFFF" w:val="clear"/>
          </w:tcPr>
          <w:p>
            <w:r>
              <w:rPr>
                <w:rFonts w:ascii="Calibri" w:cs="Calibri" w:eastAsia="Calibri" w:hAnsi="Calibri"/>
                <w:b w:val="false"/>
                <w:bCs w:val="false"/>
                <w:color w:val="000000"/>
                <w:sz w:val="18"/>
                <w:szCs w:val="18"/>
              </w:rPr>
              <w:t xml:space="preserve">app/cbl/COUSR01C.cbl</w:t>
            </w:r>
          </w:p>
        </w:tc>
      </w:tr>
      <w:tr>
        <w:tc>
          <w:tcPr>
            <w:tcW w:type="dxa" w:w="1000"/>
            <w:shd w:fill="FFFFFF" w:val="clear"/>
          </w:tcPr>
          <w:p>
            <w:r>
              <w:rPr>
                <w:rFonts w:ascii="Calibri" w:cs="Calibri" w:eastAsia="Calibri" w:hAnsi="Calibri"/>
                <w:b w:val="false"/>
                <w:bCs w:val="false"/>
                <w:color w:val="000000"/>
                <w:sz w:val="18"/>
                <w:szCs w:val="18"/>
              </w:rPr>
              <w:t xml:space="preserve">I4</w:t>
            </w:r>
          </w:p>
        </w:tc>
        <w:tc>
          <w:tcPr>
            <w:tcW w:type="dxa" w:w="1600"/>
            <w:shd w:fill="FCE4E4" w:val="clear"/>
          </w:tcPr>
          <w:p>
            <w:r>
              <w:rPr>
                <w:rFonts w:ascii="Calibri" w:cs="Calibri" w:eastAsia="Calibri" w:hAnsi="Calibri"/>
                <w:b w:val="false"/>
                <w:bCs w:val="false"/>
                <w:color w:val="000000"/>
                <w:sz w:val="18"/>
                <w:szCs w:val="18"/>
              </w:rPr>
              <w:t xml:space="preserve">Injected</w:t>
            </w:r>
          </w:p>
        </w:tc>
        <w:tc>
          <w:tcPr>
            <w:tcW w:type="dxa" w:w="2200"/>
            <w:shd w:fill="FFFFFF" w:val="clear"/>
          </w:tcPr>
          <w:p>
            <w:r>
              <w:rPr>
                <w:rFonts w:ascii="Calibri" w:cs="Calibri" w:eastAsia="Calibri" w:hAnsi="Calibri"/>
                <w:b w:val="false"/>
                <w:bCs w:val="false"/>
                <w:color w:val="000000"/>
                <w:sz w:val="18"/>
                <w:szCs w:val="18"/>
              </w:rPr>
              <w:t xml:space="preserve">Vulnerability</w:t>
            </w:r>
          </w:p>
        </w:tc>
        <w:tc>
          <w:tcPr>
            <w:tcW w:type="dxa" w:w="1200"/>
            <w:shd w:fill="FFFFFF" w:val="clear"/>
          </w:tcPr>
          <w:p>
            <w:r>
              <w:rPr>
                <w:rFonts w:ascii="Calibri" w:cs="Calibri" w:eastAsia="Calibri" w:hAnsi="Calibri"/>
                <w:b/>
                <w:bCs/>
                <w:color w:val="C00000"/>
                <w:sz w:val="18"/>
                <w:szCs w:val="18"/>
              </w:rPr>
              <w:t xml:space="preserve">Critical</w:t>
            </w:r>
          </w:p>
        </w:tc>
        <w:tc>
          <w:tcPr>
            <w:tcW w:type="dxa" w:w="3600"/>
            <w:shd w:fill="FFFFFF" w:val="clear"/>
          </w:tcPr>
          <w:p>
            <w:r>
              <w:rPr>
                <w:rFonts w:ascii="Calibri" w:cs="Calibri" w:eastAsia="Calibri" w:hAnsi="Calibri"/>
                <w:b w:val="false"/>
                <w:bCs w:val="false"/>
                <w:color w:val="000000"/>
                <w:sz w:val="18"/>
                <w:szCs w:val="18"/>
              </w:rPr>
              <w:t xml:space="preserve">app/app-transaction-type-db2/cbl/COTRTUPC.cbl</w:t>
            </w:r>
          </w:p>
        </w:tc>
      </w:tr>
      <w:tr>
        <w:tc>
          <w:tcPr>
            <w:tcW w:type="dxa" w:w="1000"/>
            <w:shd w:fill="FFFFFF" w:val="clear"/>
          </w:tcPr>
          <w:p>
            <w:r>
              <w:rPr>
                <w:rFonts w:ascii="Calibri" w:cs="Calibri" w:eastAsia="Calibri" w:hAnsi="Calibri"/>
                <w:b w:val="false"/>
                <w:bCs w:val="false"/>
                <w:color w:val="000000"/>
                <w:sz w:val="18"/>
                <w:szCs w:val="18"/>
              </w:rPr>
              <w:t xml:space="preserve">I5</w:t>
            </w:r>
          </w:p>
        </w:tc>
        <w:tc>
          <w:tcPr>
            <w:tcW w:type="dxa" w:w="1600"/>
            <w:shd w:fill="FCE4E4" w:val="clear"/>
          </w:tcPr>
          <w:p>
            <w:r>
              <w:rPr>
                <w:rFonts w:ascii="Calibri" w:cs="Calibri" w:eastAsia="Calibri" w:hAnsi="Calibri"/>
                <w:b w:val="false"/>
                <w:bCs w:val="false"/>
                <w:color w:val="000000"/>
                <w:sz w:val="18"/>
                <w:szCs w:val="18"/>
              </w:rPr>
              <w:t xml:space="preserve">Injected</w:t>
            </w:r>
          </w:p>
        </w:tc>
        <w:tc>
          <w:tcPr>
            <w:tcW w:type="dxa" w:w="2200"/>
            <w:shd w:fill="FFFFFF" w:val="clear"/>
          </w:tcPr>
          <w:p>
            <w:r>
              <w:rPr>
                <w:rFonts w:ascii="Calibri" w:cs="Calibri" w:eastAsia="Calibri" w:hAnsi="Calibri"/>
                <w:b w:val="false"/>
                <w:bCs w:val="false"/>
                <w:color w:val="000000"/>
                <w:sz w:val="18"/>
                <w:szCs w:val="18"/>
              </w:rPr>
              <w:t xml:space="preserve">Performance</w:t>
            </w:r>
          </w:p>
        </w:tc>
        <w:tc>
          <w:tcPr>
            <w:tcW w:type="dxa" w:w="1200"/>
            <w:shd w:fill="FFFFFF" w:val="clear"/>
          </w:tcPr>
          <w:p>
            <w:r>
              <w:rPr>
                <w:rFonts w:ascii="Calibri" w:cs="Calibri" w:eastAsia="Calibri" w:hAnsi="Calibri"/>
                <w:b/>
                <w:bCs/>
                <w:color w:val="C55A11"/>
                <w:sz w:val="18"/>
                <w:szCs w:val="18"/>
              </w:rPr>
              <w:t xml:space="preserve">High</w:t>
            </w:r>
          </w:p>
        </w:tc>
        <w:tc>
          <w:tcPr>
            <w:tcW w:type="dxa" w:w="3600"/>
            <w:shd w:fill="FFFFFF" w:val="clear"/>
          </w:tcPr>
          <w:p>
            <w:r>
              <w:rPr>
                <w:rFonts w:ascii="Calibri" w:cs="Calibri" w:eastAsia="Calibri" w:hAnsi="Calibri"/>
                <w:b w:val="false"/>
                <w:bCs w:val="false"/>
                <w:color w:val="000000"/>
                <w:sz w:val="18"/>
                <w:szCs w:val="18"/>
              </w:rPr>
              <w:t xml:space="preserve">app/cbl/CBTRN02C.cbl</w:t>
            </w:r>
          </w:p>
        </w:tc>
      </w:tr>
      <w:tr>
        <w:tc>
          <w:tcPr>
            <w:tcW w:type="dxa" w:w="1000"/>
            <w:shd w:fill="FFFFFF" w:val="clear"/>
          </w:tcPr>
          <w:p>
            <w:r>
              <w:rPr>
                <w:rFonts w:ascii="Calibri" w:cs="Calibri" w:eastAsia="Calibri" w:hAnsi="Calibri"/>
                <w:b w:val="false"/>
                <w:bCs w:val="false"/>
                <w:color w:val="000000"/>
                <w:sz w:val="18"/>
                <w:szCs w:val="18"/>
              </w:rPr>
              <w:t xml:space="preserve">I6</w:t>
            </w:r>
          </w:p>
        </w:tc>
        <w:tc>
          <w:tcPr>
            <w:tcW w:type="dxa" w:w="1600"/>
            <w:shd w:fill="FCE4E4" w:val="clear"/>
          </w:tcPr>
          <w:p>
            <w:r>
              <w:rPr>
                <w:rFonts w:ascii="Calibri" w:cs="Calibri" w:eastAsia="Calibri" w:hAnsi="Calibri"/>
                <w:b w:val="false"/>
                <w:bCs w:val="false"/>
                <w:color w:val="000000"/>
                <w:sz w:val="18"/>
                <w:szCs w:val="18"/>
              </w:rPr>
              <w:t xml:space="preserve">Injected</w:t>
            </w:r>
          </w:p>
        </w:tc>
        <w:tc>
          <w:tcPr>
            <w:tcW w:type="dxa" w:w="2200"/>
            <w:shd w:fill="FFFFFF" w:val="clear"/>
          </w:tcPr>
          <w:p>
            <w:r>
              <w:rPr>
                <w:rFonts w:ascii="Calibri" w:cs="Calibri" w:eastAsia="Calibri" w:hAnsi="Calibri"/>
                <w:b w:val="false"/>
                <w:bCs w:val="false"/>
                <w:color w:val="000000"/>
                <w:sz w:val="18"/>
                <w:szCs w:val="18"/>
              </w:rPr>
              <w:t xml:space="preserve">Bug (Business Logic)</w:t>
            </w:r>
          </w:p>
        </w:tc>
        <w:tc>
          <w:tcPr>
            <w:tcW w:type="dxa" w:w="1200"/>
            <w:shd w:fill="FFFFFF" w:val="clear"/>
          </w:tcPr>
          <w:p>
            <w:r>
              <w:rPr>
                <w:rFonts w:ascii="Calibri" w:cs="Calibri" w:eastAsia="Calibri" w:hAnsi="Calibri"/>
                <w:b/>
                <w:bCs/>
                <w:color w:val="C00000"/>
                <w:sz w:val="18"/>
                <w:szCs w:val="18"/>
              </w:rPr>
              <w:t xml:space="preserve">Critical</w:t>
            </w:r>
          </w:p>
        </w:tc>
        <w:tc>
          <w:tcPr>
            <w:tcW w:type="dxa" w:w="3600"/>
            <w:shd w:fill="FFFFFF" w:val="clear"/>
          </w:tcPr>
          <w:p>
            <w:r>
              <w:rPr>
                <w:rFonts w:ascii="Calibri" w:cs="Calibri" w:eastAsia="Calibri" w:hAnsi="Calibri"/>
                <w:b w:val="false"/>
                <w:bCs w:val="false"/>
                <w:color w:val="000000"/>
                <w:sz w:val="18"/>
                <w:szCs w:val="18"/>
              </w:rPr>
              <w:t xml:space="preserve">app/cbl/CBTRN02C.cbl</w:t>
            </w:r>
          </w:p>
        </w:tc>
      </w:tr>
      <w:tr>
        <w:tc>
          <w:tcPr>
            <w:tcW w:type="dxa" w:w="1000"/>
            <w:shd w:fill="FFFFFF" w:val="clear"/>
          </w:tcPr>
          <w:p>
            <w:r>
              <w:rPr>
                <w:rFonts w:ascii="Calibri" w:cs="Calibri" w:eastAsia="Calibri" w:hAnsi="Calibri"/>
                <w:b w:val="false"/>
                <w:bCs w:val="false"/>
                <w:color w:val="000000"/>
                <w:sz w:val="18"/>
                <w:szCs w:val="18"/>
              </w:rPr>
              <w:t xml:space="preserve">I7</w:t>
            </w:r>
          </w:p>
        </w:tc>
        <w:tc>
          <w:tcPr>
            <w:tcW w:type="dxa" w:w="1600"/>
            <w:shd w:fill="FCE4E4" w:val="clear"/>
          </w:tcPr>
          <w:p>
            <w:r>
              <w:rPr>
                <w:rFonts w:ascii="Calibri" w:cs="Calibri" w:eastAsia="Calibri" w:hAnsi="Calibri"/>
                <w:b w:val="false"/>
                <w:bCs w:val="false"/>
                <w:color w:val="000000"/>
                <w:sz w:val="18"/>
                <w:szCs w:val="18"/>
              </w:rPr>
              <w:t xml:space="preserve">Injected</w:t>
            </w:r>
          </w:p>
        </w:tc>
        <w:tc>
          <w:tcPr>
            <w:tcW w:type="dxa" w:w="2200"/>
            <w:shd w:fill="FFFFFF" w:val="clear"/>
          </w:tcPr>
          <w:p>
            <w:r>
              <w:rPr>
                <w:rFonts w:ascii="Calibri" w:cs="Calibri" w:eastAsia="Calibri" w:hAnsi="Calibri"/>
                <w:b w:val="false"/>
                <w:bCs w:val="false"/>
                <w:color w:val="000000"/>
                <w:sz w:val="18"/>
                <w:szCs w:val="18"/>
              </w:rPr>
              <w:t xml:space="preserve">Bug (Data Integrity)</w:t>
            </w:r>
          </w:p>
        </w:tc>
        <w:tc>
          <w:tcPr>
            <w:tcW w:type="dxa" w:w="1200"/>
            <w:shd w:fill="FFFFFF" w:val="clear"/>
          </w:tcPr>
          <w:p>
            <w:r>
              <w:rPr>
                <w:rFonts w:ascii="Calibri" w:cs="Calibri" w:eastAsia="Calibri" w:hAnsi="Calibri"/>
                <w:b/>
                <w:bCs/>
                <w:color w:val="C00000"/>
                <w:sz w:val="18"/>
                <w:szCs w:val="18"/>
              </w:rPr>
              <w:t xml:space="preserve">Critical</w:t>
            </w:r>
          </w:p>
        </w:tc>
        <w:tc>
          <w:tcPr>
            <w:tcW w:type="dxa" w:w="3600"/>
            <w:shd w:fill="FFFFFF" w:val="clear"/>
          </w:tcPr>
          <w:p>
            <w:r>
              <w:rPr>
                <w:rFonts w:ascii="Calibri" w:cs="Calibri" w:eastAsia="Calibri" w:hAnsi="Calibri"/>
                <w:b w:val="false"/>
                <w:bCs w:val="false"/>
                <w:color w:val="000000"/>
                <w:sz w:val="18"/>
                <w:szCs w:val="18"/>
              </w:rPr>
              <w:t xml:space="preserve">app/cbl/CBACT04C.cbl</w:t>
            </w:r>
          </w:p>
        </w:tc>
      </w:tr>
    </w:tbl>
    <w:p>
      <w:pPr>
        <w:spacing w:before="200"/>
      </w:pPr>
    </w:p>
    <w:p>
      <w:pPr>
        <w:pStyle w:val="Heading1"/>
        <w:spacing w:after="140" w:before="280"/>
      </w:pPr>
      <w:r>
        <w:rPr>
          <w:rFonts w:ascii="Calibri" w:cs="Calibri" w:eastAsia="Calibri" w:hAnsi="Calibri"/>
          <w:b/>
          <w:bCs/>
          <w:color w:val="1F3864"/>
        </w:rPr>
        <w:t xml:space="preserve">Part 1 — Existing Issues Found in the Upstream Repository</w:t>
      </w:r>
    </w:p>
    <w:p>
      <w:pPr>
        <w:pStyle w:val="Heading3"/>
        <w:spacing w:after="80" w:before="240"/>
      </w:pPr>
      <w:r>
        <w:rPr>
          <w:rFonts w:ascii="Calibri" w:cs="Calibri" w:eastAsia="Calibri" w:hAnsi="Calibri"/>
          <w:b/>
          <w:bCs/>
          <w:color w:val="1F3864"/>
          <w:sz w:val="24"/>
          <w:szCs w:val="24"/>
        </w:rPr>
        <w:t xml:space="preserve">R1 — Passwords stored and compared in plaintext</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w:t>
      </w:r>
      <w:r>
        <w:rPr>
          <w:rFonts w:ascii="Calibri" w:cs="Calibri" w:eastAsia="Calibri" w:hAnsi="Calibri"/>
          <w:b/>
          <w:bCs/>
          <w:color w:val="C55A11"/>
          <w:sz w:val="18"/>
          <w:szCs w:val="18"/>
        </w:rPr>
        <w:t xml:space="preserve">Severity: High</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app/cpy/CSUSR01Y.cpy (SEC-USR-PWD field); app/cbl/COSGN00C.cbl, paragraph READ-USER-SEC-FILE</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The USRSEC record defines SEC-USR-PWD as an 8-byte plaintext field, and signon simply does IF SEC-USR-PWD = WS-USER-PWD. There is no hashing, salting, or one-way encoding anywhere in the authentication path.</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CSUSR01Y.cpy: '05 SEC-USR-PWD PIC X(08).'  |  COSGN00C.cbl: 'IF SEC-USR-PWD = WS-USER-PWD'</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Anyone with read access to the USRSEC VSAM file/dataset (backup tapes, DASD dumps, a DBA, a mis-scoped batch job) recovers every user's password in cleartext, including admin accounts.</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Store a salted one-way hash (e.g. via a callable security exit or z/OS RACF/ICSF service) and compare hash values instead of raw passwords.</w:t>
      </w:r>
    </w:p>
    <w:p>
      <w:pPr>
        <w:pStyle w:val="Heading3"/>
        <w:spacing w:after="80" w:before="240"/>
      </w:pPr>
      <w:r>
        <w:rPr>
          <w:rFonts w:ascii="Calibri" w:cs="Calibri" w:eastAsia="Calibri" w:hAnsi="Calibri"/>
          <w:b/>
          <w:bCs/>
          <w:color w:val="1F3864"/>
          <w:sz w:val="24"/>
          <w:szCs w:val="24"/>
        </w:rPr>
        <w:t xml:space="preserve">R2 — User ID enumeration via differentiated error messages</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w:t>
      </w:r>
      <w:r>
        <w:rPr>
          <w:rFonts w:ascii="Calibri" w:cs="Calibri" w:eastAsia="Calibri" w:hAnsi="Calibri"/>
          <w:b/>
          <w:bCs/>
          <w:color w:val="B45309"/>
          <w:sz w:val="18"/>
          <w:szCs w:val="18"/>
        </w:rPr>
        <w:t xml:space="preserve">Severity: Medium</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app/cbl/COSGN00C.cbl, paragraph READ-USER-SEC-FILE</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On a failed signon the program returns 'User not found ...' when the ID doesn't exist versus 'Wrong Password. Try again ...' when it does. This tells an attacker which usernames are valid.</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EVALUATE WS-RESP-CD ... WHEN 13 MOVE 'User not found. Try again ...' ... (else branch) MOVE 'Wrong Password. Try again ...'</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Enables username enumeration as a precursor to credential-stuffing or brute-force attacks.</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Return one generic 'Invalid User ID or Password' message for both cases.</w:t>
      </w:r>
    </w:p>
    <w:p>
      <w:pPr>
        <w:pStyle w:val="Heading3"/>
        <w:spacing w:after="80" w:before="240"/>
      </w:pPr>
      <w:r>
        <w:rPr>
          <w:rFonts w:ascii="Calibri" w:cs="Calibri" w:eastAsia="Calibri" w:hAnsi="Calibri"/>
          <w:b/>
          <w:bCs/>
          <w:color w:val="1F3864"/>
          <w:sz w:val="24"/>
          <w:szCs w:val="24"/>
        </w:rPr>
        <w:t xml:space="preserve">R3 — No account lockout or throttling on repeated failed signons</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w:t>
      </w:r>
      <w:r>
        <w:rPr>
          <w:rFonts w:ascii="Calibri" w:cs="Calibri" w:eastAsia="Calibri" w:hAnsi="Calibri"/>
          <w:b/>
          <w:bCs/>
          <w:color w:val="C55A11"/>
          <w:sz w:val="18"/>
          <w:szCs w:val="18"/>
        </w:rPr>
        <w:t xml:space="preserve">Severity: High</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app/cbl/COSGN00C.cbl (entire signon flow)</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There is no failed-attempt counter, no lockout flag on SEC-USER-DATA, and no delay/backoff. A user ID can be tried against an unlimited number of passwords in a tight loop.</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No WS-FAILED-ATTEMPTS or equivalent field exists anywhere in COSGN00C.cbl or CSUSR01Y.cpy.</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Combined with R1 (plaintext, fixed 8-char passwords) this makes offline or online brute-forcing of any account, including admin accounts, straightforward.</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Add a failed-attempt counter and lockout/backoff to the USRSEC record and enforce it before the password comparison.</w:t>
      </w:r>
    </w:p>
    <w:p>
      <w:pPr>
        <w:pStyle w:val="Heading3"/>
        <w:spacing w:after="80" w:before="240"/>
      </w:pPr>
      <w:r>
        <w:rPr>
          <w:rFonts w:ascii="Calibri" w:cs="Calibri" w:eastAsia="Calibri" w:hAnsi="Calibri"/>
          <w:b/>
          <w:bCs/>
          <w:color w:val="1F3864"/>
          <w:sz w:val="24"/>
          <w:szCs w:val="24"/>
        </w:rPr>
        <w:t xml:space="preserve">R4 — Missing authorization check on the Add-User transaction</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w:t>
      </w:r>
      <w:r>
        <w:rPr>
          <w:rFonts w:ascii="Calibri" w:cs="Calibri" w:eastAsia="Calibri" w:hAnsi="Calibri"/>
          <w:b/>
          <w:bCs/>
          <w:color w:val="C55A11"/>
          <w:sz w:val="18"/>
          <w:szCs w:val="18"/>
        </w:rPr>
        <w:t xml:space="preserve">Severity: High</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app/cbl/COUSR01C.cbl, paragraph PROCESS-ENTER-KEY</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COUSR01C (CICS transaction CU01, 'Add User') never inspects CDEMO-USER-TYPE of the signed-on operator. Access is enforced only by the admin menu (COADM01C) not showing the option to regular users — but CICS transactions can be invoked directly by transaction ID, bypassing the menu entirely.</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PROCESS-ENTER-KEY validates only that the input fields are non-blank; there is no IF CDEMO-USER-TYPE = 'A' guard anywhere in the program.</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A regular (non-admin) user who knows or guesses the transaction ID CU01 can create new users, including new admin accounts, with no privilege check.</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Re-verify CDEMO-USER-TYPE = 'A' inside COUSR01C itself (defense in depth), not only at the menu layer.</w:t>
      </w:r>
    </w:p>
    <w:p>
      <w:pPr>
        <w:pStyle w:val="Heading3"/>
        <w:spacing w:after="80" w:before="240"/>
      </w:pPr>
      <w:r>
        <w:rPr>
          <w:rFonts w:ascii="Calibri" w:cs="Calibri" w:eastAsia="Calibri" w:hAnsi="Calibri"/>
          <w:b/>
          <w:bCs/>
          <w:color w:val="1F3864"/>
          <w:sz w:val="24"/>
          <w:szCs w:val="24"/>
        </w:rPr>
        <w:t xml:space="preserve">R5 — No password complexity, length, or reuse policy on user creation</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w:t>
      </w:r>
      <w:r>
        <w:rPr>
          <w:rFonts w:ascii="Calibri" w:cs="Calibri" w:eastAsia="Calibri" w:hAnsi="Calibri"/>
          <w:b/>
          <w:bCs/>
          <w:color w:val="B45309"/>
          <w:sz w:val="18"/>
          <w:szCs w:val="18"/>
        </w:rPr>
        <w:t xml:space="preserve">Severity: Medium</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app/cbl/COUSR01C.cbl, paragraph PROCESS-ENTER-KEY</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PASSWDI is only checked for 'not blank'. Any 1–8 character value, including a single character or a value identical to the user ID, is accepted as a password.</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WHEN PASSWDI OF COUSR1AI = SPACES OR LOW-VALUES ... (only blank check; no length/complexity/dictionary check follows).</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Weak, trivially guessable passwords can be provisioned for any account, undermining any downstream password controls.</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Enforce minimum length/complexity rules and reject passwords equal to the user ID at creation time.</w:t>
      </w:r>
    </w:p>
    <w:p>
      <w:pPr>
        <w:pStyle w:val="Heading3"/>
        <w:spacing w:after="80" w:before="240"/>
      </w:pPr>
      <w:r>
        <w:rPr>
          <w:rFonts w:ascii="Calibri" w:cs="Calibri" w:eastAsia="Calibri" w:hAnsi="Calibri"/>
          <w:b/>
          <w:bCs/>
          <w:color w:val="1F3864"/>
          <w:sz w:val="24"/>
          <w:szCs w:val="24"/>
        </w:rPr>
        <w:t xml:space="preserve">R6 — Interest calculation truncates instead of rounding</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Bug   </w:t>
      </w:r>
      <w:r>
        <w:rPr>
          <w:rFonts w:ascii="Calibri" w:cs="Calibri" w:eastAsia="Calibri" w:hAnsi="Calibri"/>
          <w:b/>
          <w:bCs/>
          <w:color w:val="B45309"/>
          <w:sz w:val="18"/>
          <w:szCs w:val="18"/>
        </w:rPr>
        <w:t xml:space="preserve">Severity: Medium</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app/cbl/CBACT04C.cbl, paragraph 1300-COMPUTE-INTEREST (line ~464)</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COMPUTE WS-MONTHLY-INT = (TRAN-CAT-BAL * DIS-INT-RATE) / 1200 has no ROUNDED clause, so fractional cents are truncated every cycle rather than rounded.</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'COMPUTE WS-MONTHLY-INT = ( TRAN-CAT-BAL * DIS-INT-RATE) / 1200' — no ROUNDED keyword.</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Small, systematic under-charging of interest that compounds across billing cycles and accounts; balances will not tie out to a penny-accurate reference calculation.</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Add the ROUNDED clause (COMPUTE ... ROUNDED = ...) per standard COBOL rounding rules.</w:t>
      </w:r>
    </w:p>
    <w:p>
      <w:pPr>
        <w:pStyle w:val="Heading3"/>
        <w:spacing w:after="80" w:before="240"/>
      </w:pPr>
      <w:r>
        <w:rPr>
          <w:rFonts w:ascii="Calibri" w:cs="Calibri" w:eastAsia="Calibri" w:hAnsi="Calibri"/>
          <w:b/>
          <w:bCs/>
          <w:color w:val="1F3864"/>
          <w:sz w:val="24"/>
          <w:szCs w:val="24"/>
        </w:rPr>
        <w:t xml:space="preserve">R7 — Fee calculation is an unimplemented stub</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Bug   </w:t>
      </w:r>
      <w:r>
        <w:rPr>
          <w:rFonts w:ascii="Calibri" w:cs="Calibri" w:eastAsia="Calibri" w:hAnsi="Calibri"/>
          <w:b/>
          <w:bCs/>
          <w:color w:val="B45309"/>
          <w:sz w:val="18"/>
          <w:szCs w:val="18"/>
        </w:rPr>
        <w:t xml:space="preserve">Severity: Medium</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app/cbl/CBACT04C.cbl, paragraph 1400-COMPUTE-FEES (line ~518)</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The interest/fee batch job calls PERFORM 1400-COMPUTE-FEES, but the paragraph body is just a comment: '* To be implemented' followed by EXIT — no late fee, over-limit fee, or annual fee is ever posted.</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'1400-COMPUTE-FEES.  * To be implemented  EXIT.'</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Functional gap: any downstream reporting or reconciliation that assumes fees are being assessed will be wrong; represents unfinished business logic shipped as if complete.</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Implement the fee schedule or, at minimum, flag the job/report output to make clear fees are not yet calculated.</w:t>
      </w:r>
    </w:p>
    <w:p>
      <w:pPr>
        <w:pStyle w:val="Heading3"/>
        <w:spacing w:after="80" w:before="240"/>
      </w:pPr>
      <w:r>
        <w:rPr>
          <w:rFonts w:ascii="Calibri" w:cs="Calibri" w:eastAsia="Calibri" w:hAnsi="Calibri"/>
          <w:b/>
          <w:bCs/>
          <w:color w:val="1F3864"/>
          <w:sz w:val="24"/>
          <w:szCs w:val="24"/>
        </w:rPr>
        <w:t xml:space="preserve">R8 — Daily transaction file opened as OUTPUT instead of EXTEND in the posting batch job</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Bug   </w:t>
      </w:r>
      <w:r>
        <w:rPr>
          <w:rFonts w:ascii="Calibri" w:cs="Calibri" w:eastAsia="Calibri" w:hAnsi="Calibri"/>
          <w:b/>
          <w:bCs/>
          <w:color w:val="C55A11"/>
          <w:sz w:val="18"/>
          <w:szCs w:val="18"/>
        </w:rPr>
        <w:t xml:space="preserve">Severity: High</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app/cbl/CBTRN02C.cbl, paragraph 0100-TRANFILE-OPEN</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TRANSACT-FILE is OPEN OUTPUT (which creates/overwrites) rather than OPEN EXTEND (append). If this job is rerun for any reason — restart after abend, reprocessing a corrected daily file — the existing TRANFILE contents from earlier runs are silently lost.</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'OPEN OUTPUT TRANSACT-FILE'</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Data-loss risk in normal mainframe operational scenarios (job restarts are routine); no error is raised, so the loss can go unnoticed until reconciliation.</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Open in EXTEND mode for reruns, or make the job idempotent/checkpoint-aware.</w:t>
      </w:r>
    </w:p>
    <w:p>
      <w:pPr>
        <w:pStyle w:val="Heading3"/>
        <w:spacing w:after="80" w:before="240"/>
      </w:pPr>
      <w:r>
        <w:rPr>
          <w:rFonts w:ascii="Calibri" w:cs="Calibri" w:eastAsia="Calibri" w:hAnsi="Calibri"/>
          <w:b/>
          <w:bCs/>
          <w:color w:val="1F3864"/>
          <w:sz w:val="24"/>
          <w:szCs w:val="24"/>
        </w:rPr>
        <w:t xml:space="preserve">R9 — Deployment scripts transfer source and JCL over unencrypted FTP</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w:t>
      </w:r>
      <w:r>
        <w:rPr>
          <w:rFonts w:ascii="Calibri" w:cs="Calibri" w:eastAsia="Calibri" w:hAnsi="Calibri"/>
          <w:b/>
          <w:bCs/>
          <w:color w:val="B45309"/>
          <w:sz w:val="18"/>
          <w:szCs w:val="18"/>
        </w:rPr>
        <w:t xml:space="preserve">Severity: Medium</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scripts/remote_compile.sh, scripts/remote_submit.sh, scripts/remote_refresh.sh, scripts/upld_module.sh</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All four scripts pipe files to the mainframe using 'tnftp localhost 2121', i.e. plain FTP over a local tunnel, rather than FTPS/SFTP.</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'tnftp localhost 2121 &lt;&lt;EOF ... put $file ... EOF' (repeated in each script).</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Depending on how the tunnel is terminated, source code, JCL, and any credentials embedded in the session could be exposed to interception on the path to the tunnel endpoint.</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Use SFTP/FTPS (or a properly TLS-terminated tunnel with the endpoint documented) for the mainframe deployment pipeline.</w:t>
      </w:r>
    </w:p>
    <w:p>
      <w:r>
        <w:br/>
        <w:t xml:space="preserve"/>
      </w:r>
    </w:p>
    <w:p>
      <w:pPr>
        <w:pStyle w:val="Heading1"/>
        <w:spacing w:after="140" w:before="280"/>
      </w:pPr>
      <w:r>
        <w:rPr>
          <w:rFonts w:ascii="Calibri" w:cs="Calibri" w:eastAsia="Calibri" w:hAnsi="Calibri"/>
          <w:b/>
          <w:bCs/>
          <w:color w:val="C00000"/>
        </w:rPr>
        <w:t xml:space="preserve">Part 2 — Issues Intentionally Added for This Exercise</w:t>
      </w:r>
    </w:p>
    <w:p>
      <w:pPr>
        <w:spacing w:after="120"/>
      </w:pPr>
      <w:r>
        <w:rPr>
          <w:rFonts w:ascii="Calibri" w:cs="Calibri" w:eastAsia="Calibri" w:hAnsi="Calibri"/>
          <w:sz w:val="22"/>
          <w:szCs w:val="22"/>
        </w:rPr>
        <w:t xml:space="preserve">Everything in this section was deliberately introduced into a local copy of the repository at your request and is not present upstream. Each change is tagged in-source with a comment beginning INJECTED-VULN-nn, INJECTED-BUG-nn, or INJECTED-PERF-nn so it can be located and reverted with a simple search. A full diff is included as carddemo_injected_issues.diff.</w:t>
      </w:r>
    </w:p>
    <w:p>
      <w:pPr>
        <w:pStyle w:val="Heading3"/>
        <w:spacing w:after="80" w:before="240"/>
      </w:pPr>
      <w:r>
        <w:rPr>
          <w:rFonts w:ascii="Calibri" w:cs="Calibri" w:eastAsia="Calibri" w:hAnsi="Calibri"/>
          <w:b/>
          <w:bCs/>
          <w:color w:val="1F3864"/>
          <w:sz w:val="24"/>
          <w:szCs w:val="24"/>
        </w:rPr>
        <w:t xml:space="preserve">I1 — Hardcoded backdoor administrator credential</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(Injected)   </w:t>
      </w:r>
      <w:r>
        <w:rPr>
          <w:rFonts w:ascii="Calibri" w:cs="Calibri" w:eastAsia="Calibri" w:hAnsi="Calibri"/>
          <w:b/>
          <w:bCs/>
          <w:color w:val="C00000"/>
          <w:sz w:val="18"/>
          <w:szCs w:val="18"/>
        </w:rPr>
        <w:t xml:space="preserve">Severity: Critical</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app/cbl/COSGN00C.cbl, paragraph READ-USER-SEC-FILE</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A literal user ID/password pair ('MAINT9999' / 'BACKD00R') bypasses the USRSEC file lookup entirely and signs the session on with admin type ('A'), transferring straight to the admin menu (COADM01C) — no USRSEC record needs to exist.</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IF WS-USER-ID = 'MAINT9999' AND WS-USER-PWD = 'BACKD00R' ... MOVE 'A' TO CDEMO-USER-TYPE ... EXEC CICS XCTL PROGRAM('COADM01C')</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Total authentication bypass — anyone who discovers the literal (source leak, decompiled load module, insider) gets permanent, unauditable admin access that doesn't correspond to any real USRSEC record.</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Remove the backdoor. Any 'break-glass' access should go through an auditable, time-limited mechanism, never a hardcoded literal.</w:t>
      </w:r>
    </w:p>
    <w:p>
      <w:pPr>
        <w:pStyle w:val="Heading3"/>
        <w:spacing w:after="80" w:before="240"/>
      </w:pPr>
      <w:r>
        <w:rPr>
          <w:rFonts w:ascii="Calibri" w:cs="Calibri" w:eastAsia="Calibri" w:hAnsi="Calibri"/>
          <w:b/>
          <w:bCs/>
          <w:color w:val="1F3864"/>
          <w:sz w:val="24"/>
          <w:szCs w:val="24"/>
        </w:rPr>
        <w:t xml:space="preserve">I2 — Cleartext logging of user IDs and passwords</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(Injected)   </w:t>
      </w:r>
      <w:r>
        <w:rPr>
          <w:rFonts w:ascii="Calibri" w:cs="Calibri" w:eastAsia="Calibri" w:hAnsi="Calibri"/>
          <w:b/>
          <w:bCs/>
          <w:color w:val="C55A11"/>
          <w:sz w:val="18"/>
          <w:szCs w:val="18"/>
        </w:rPr>
        <w:t xml:space="preserve">Severity: High</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app/cbl/COSGN00C.cbl, paragraph READ-USER-SEC-FILE</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Every signon attempt is written to the CICS/job log with the password in the clear via a DISPLAY statement.</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DISPLAY 'SIGNON ATTEMPT UID=' WS-USER-ID ' PWD=' WS-USER-PWD.</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Passwords land in job logs / SYSOUT, which are typically retained, backed up, and readable by a much larger population (operators, log-aggregation pipelines) than the USRSEC file itself.</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Never log credentials; if signon auditing is needed, log the user ID and outcome only.</w:t>
      </w:r>
    </w:p>
    <w:p>
      <w:pPr>
        <w:pStyle w:val="Heading3"/>
        <w:spacing w:after="80" w:before="240"/>
      </w:pPr>
      <w:r>
        <w:rPr>
          <w:rFonts w:ascii="Calibri" w:cs="Calibri" w:eastAsia="Calibri" w:hAnsi="Calibri"/>
          <w:b/>
          <w:bCs/>
          <w:color w:val="1F3864"/>
          <w:sz w:val="24"/>
          <w:szCs w:val="24"/>
        </w:rPr>
        <w:t xml:space="preserve">I3 — Privilege-escalation backdoor when creating a user</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(Injected)   </w:t>
      </w:r>
      <w:r>
        <w:rPr>
          <w:rFonts w:ascii="Calibri" w:cs="Calibri" w:eastAsia="Calibri" w:hAnsi="Calibri"/>
          <w:b/>
          <w:bCs/>
          <w:color w:val="C00000"/>
          <w:sz w:val="18"/>
          <w:szCs w:val="18"/>
        </w:rPr>
        <w:t xml:space="preserve">Severity: Critical</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app/cbl/COUSR01C.cbl, paragraph PROCESS-ENTER-KEY</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If the Last Name field is set to the literal 'ROOTACCESS', the new account is silently created as an admin ('A') regardless of what User Type was actually selected on the screen.</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IF LNAMEI OF COUSR1AI = 'ROOTACCESS'  MOVE 'A' TO SEC-USR-TYPE  END-IF</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Compounds R4 (no authorization check on this transaction): any user who can reach CU01 and knows the magic string can mint an admin account for themselves under any user ID.</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Remove the magic-value bypass; user type must come only from validated, authorized input.</w:t>
      </w:r>
    </w:p>
    <w:p>
      <w:pPr>
        <w:pStyle w:val="Heading3"/>
        <w:spacing w:after="80" w:before="240"/>
      </w:pPr>
      <w:r>
        <w:rPr>
          <w:rFonts w:ascii="Calibri" w:cs="Calibri" w:eastAsia="Calibri" w:hAnsi="Calibri"/>
          <w:b/>
          <w:bCs/>
          <w:color w:val="1F3864"/>
          <w:sz w:val="24"/>
          <w:szCs w:val="24"/>
        </w:rPr>
        <w:t xml:space="preserve">I4 — SQL injection via dynamically built EXECUTE IMMEDIATE statement</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Vulnerability (Injected)   </w:t>
      </w:r>
      <w:r>
        <w:rPr>
          <w:rFonts w:ascii="Calibri" w:cs="Calibri" w:eastAsia="Calibri" w:hAnsi="Calibri"/>
          <w:b/>
          <w:bCs/>
          <w:color w:val="C00000"/>
          <w:sz w:val="18"/>
          <w:szCs w:val="18"/>
        </w:rPr>
        <w:t xml:space="preserve">Severity: Critical</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app/app-transaction-type-db2/cbl/COTRTUPC.cbl, paragraph 9600-WRITE-PROCESSING</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The original code used a safe, parameterized static EXEC SQL UPDATE with host variables. It was replaced with a STRING-concatenated SQL statement (embedding the raw screen fields TTUP-NEW-TTYP-TYPE-DESC and TTUP-NEW-TTYP-TYPE directly into the text) executed via PREPARE/EXECUTE.</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STRING 'UPDATE CARDDEMO.TRANSACTION_TYPE SET TR_DESCRIPTION = ''' TTUP-NEW-TTYP-TYPE-DESC ''' WHERE TR_TYPE = ''' TTUP-NEW-TTYP-TYPE '''' INTO WS-DYNAMIC-SQL-TEXT ... EXEC SQL PREPARE DYNSTMT FROM :WS-DYNAMIC-SQL-TEXT ... EXECUTE DYNSTMT</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A description field containing a single quote and additional SQL (e.g. ' WHERE 1=1; --) lets an operator alter rows outside the intended TR_TYPE or otherwise manipulate the statement — classic CWE-89.</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Revert to the original parameterized static SQL with host variables; never build SQL text from unvalidated input.</w:t>
      </w:r>
    </w:p>
    <w:p>
      <w:pPr>
        <w:pStyle w:val="Heading3"/>
        <w:spacing w:after="80" w:before="240"/>
      </w:pPr>
      <w:r>
        <w:rPr>
          <w:rFonts w:ascii="Calibri" w:cs="Calibri" w:eastAsia="Calibri" w:hAnsi="Calibri"/>
          <w:b/>
          <w:bCs/>
          <w:color w:val="1F3864"/>
          <w:sz w:val="24"/>
          <w:szCs w:val="24"/>
        </w:rPr>
        <w:t xml:space="preserve">I5 — O(n²) batch performance regression in transaction posting</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Performance (Injected)   </w:t>
      </w:r>
      <w:r>
        <w:rPr>
          <w:rFonts w:ascii="Calibri" w:cs="Calibri" w:eastAsia="Calibri" w:hAnsi="Calibri"/>
          <w:b/>
          <w:bCs/>
          <w:color w:val="C55A11"/>
          <w:sz w:val="18"/>
          <w:szCs w:val="18"/>
        </w:rPr>
        <w:t xml:space="preserve">Severity: High</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app/cbl/CBTRN02C.cbl, paragraph 1500-B-LOOKUP-ACCT</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A full STARTBR/READNEXT sequential scan of the entire TCATBAL file was added ahead of the existing single keyed READ, for every single daily transaction processed.</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MOVE LOW-VALUES TO FD-TRAN-CAT-KEY  EXEC CICS STARTBR ... PERFORM UNTIL WS-RESP-CD NOT = DFHRESP(NORMAL) ... READNEXT ... END-PERFORM  EXEC CICS ENDBR ...</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Changes an O(n) batch post into O(n×m) (n transactions × m category-balance rows). On production-scale extracts this can turn a batch window of minutes into hours, risking SLA/cutover overruns.</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Remove the redundant scan; the existing keyed READ against ACCOUNT-FILE is sufficient.</w:t>
      </w:r>
    </w:p>
    <w:p>
      <w:pPr>
        <w:pStyle w:val="Heading3"/>
        <w:spacing w:after="80" w:before="240"/>
      </w:pPr>
      <w:r>
        <w:rPr>
          <w:rFonts w:ascii="Calibri" w:cs="Calibri" w:eastAsia="Calibri" w:hAnsi="Calibri"/>
          <w:b/>
          <w:bCs/>
          <w:color w:val="1F3864"/>
          <w:sz w:val="24"/>
          <w:szCs w:val="24"/>
        </w:rPr>
        <w:t xml:space="preserve">I6 — Credit-limit / fraud-control bypass for a hardcoded transaction source</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Bug — Business Logic (Injected)   </w:t>
      </w:r>
      <w:r>
        <w:rPr>
          <w:rFonts w:ascii="Calibri" w:cs="Calibri" w:eastAsia="Calibri" w:hAnsi="Calibri"/>
          <w:b/>
          <w:bCs/>
          <w:color w:val="C00000"/>
          <w:sz w:val="18"/>
          <w:szCs w:val="18"/>
        </w:rPr>
        <w:t xml:space="preserve">Severity: Critical</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app/cbl/CBTRN02C.cbl, paragraph 1500-B-LOOKUP-ACCT</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Any daily transaction whose DALYTRAN-SOURCE equals 'TESTPOS ' skips the credit-limit check entirely and is posted regardless of how far over the account's limit it takes the balance.</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IF DALYTRAN-SOURCE = 'TESTPOS '  CONTINUE  ELSE  IF ACCT-CREDIT-LIMIT &gt;= WS-TEMP-BAL ...</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If a real-world source system (or a spoofed feed) ever populates that value, over-limit fraud/authorization-limit transactions post silently with no rejection or fee, defeating a core financial control.</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Remove the source-based bypass; credit-limit enforcement should have no unconditional exceptions.</w:t>
      </w:r>
    </w:p>
    <w:p>
      <w:pPr>
        <w:pStyle w:val="Heading3"/>
        <w:spacing w:after="80" w:before="240"/>
      </w:pPr>
      <w:r>
        <w:rPr>
          <w:rFonts w:ascii="Calibri" w:cs="Calibri" w:eastAsia="Calibri" w:hAnsi="Calibri"/>
          <w:b/>
          <w:bCs/>
          <w:color w:val="1F3864"/>
          <w:sz w:val="24"/>
          <w:szCs w:val="24"/>
        </w:rPr>
        <w:t xml:space="preserve">I7 — Uninitialized accumulator corrupts balances across accounts</w:t>
      </w:r>
    </w:p>
    <w:p>
      <w:pPr>
        <w:spacing w:after="100"/>
      </w:pPr>
      <w:r>
        <w:rPr>
          <w:rFonts w:ascii="Calibri" w:cs="Calibri" w:eastAsia="Calibri" w:hAnsi="Calibri"/>
          <w:i/>
          <w:iCs/>
          <w:color w:val="595959"/>
          <w:sz w:val="18"/>
          <w:szCs w:val="18"/>
        </w:rPr>
        <w:t xml:space="preserve">EXISTING IN UPSTREAM REPO   </w:t>
      </w:r>
      <w:r>
        <w:rPr>
          <w:rFonts w:ascii="Calibri" w:cs="Calibri" w:eastAsia="Calibri" w:hAnsi="Calibri"/>
          <w:b/>
          <w:bCs/>
          <w:sz w:val="18"/>
          <w:szCs w:val="18"/>
        </w:rPr>
        <w:t xml:space="preserve">Category: Bug — Data Integrity (Injected)   </w:t>
      </w:r>
      <w:r>
        <w:rPr>
          <w:rFonts w:ascii="Calibri" w:cs="Calibri" w:eastAsia="Calibri" w:hAnsi="Calibri"/>
          <w:b/>
          <w:bCs/>
          <w:color w:val="C00000"/>
          <w:sz w:val="18"/>
          <w:szCs w:val="18"/>
        </w:rPr>
        <w:t xml:space="preserve">Severity: Critical</w:t>
      </w:r>
    </w:p>
    <w:p>
      <w:p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app/cbl/CBACT04C.cbl, main processing loop (per-account reset, ~line 200) and paragraph 1050-UPDATE-ACCOUNT (~line 352)</w:t>
      </w:r>
    </w:p>
    <w:p>
      <w:pPr>
        <w:spacing w:after="80"/>
      </w:pPr>
      <w:r>
        <w:rPr>
          <w:rFonts w:ascii="Calibri" w:cs="Calibri" w:eastAsia="Calibri" w:hAnsi="Calibri"/>
          <w:b/>
          <w:bCs/>
          <w:sz w:val="22"/>
          <w:szCs w:val="22"/>
        </w:rPr>
        <w:t xml:space="preserve">Description: </w:t>
      </w:r>
      <w:r>
        <w:rPr>
          <w:rFonts w:ascii="Calibri" w:cs="Calibri" w:eastAsia="Calibri" w:hAnsi="Calibri"/>
          <w:sz w:val="22"/>
          <w:szCs w:val="22"/>
        </w:rPr>
        <w:t xml:space="preserve">The per-account reset ('MOVE 0 TO WS-TOTAL-INT') was removed. WS-TOTAL-INT is accumulated continuously across the entire batch run and is added to ACCT-CURR-BAL for every account, so from the second account processed onward each account is credited/charged the running total of every prior account's interest in addition to its own.</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Reset statement replaced with a comment: '*  MOVE 0 TO WS-TOTAL-INT   *** removed - see above ***' (original call site at line ~200); accumulation still happens at 'ADD WS-TOTAL-INT TO ACCT-CURR-BAL' (line ~352).</w:t>
      </w:r>
    </w:p>
    <w:p>
      <w:pPr>
        <w:spacing w:after="80"/>
      </w:pPr>
      <w:r>
        <w:rPr>
          <w:rFonts w:ascii="Calibri" w:cs="Calibri" w:eastAsia="Calibri" w:hAnsi="Calibri"/>
          <w:b/>
          <w:bCs/>
          <w:sz w:val="22"/>
          <w:szCs w:val="22"/>
        </w:rPr>
        <w:t xml:space="preserve">Impact: </w:t>
      </w:r>
      <w:r>
        <w:rPr>
          <w:rFonts w:ascii="Calibri" w:cs="Calibri" w:eastAsia="Calibri" w:hAnsi="Calibri"/>
          <w:sz w:val="22"/>
          <w:szCs w:val="22"/>
        </w:rPr>
        <w:t xml:space="preserve">Progressive, cumulative corruption of every account balance in the file after the first — a severe financial data-integrity defect that would misstate customer balances batch-wide.</w:t>
      </w:r>
    </w:p>
    <w:p>
      <w:pPr>
        <w:spacing w:after="80"/>
      </w:pPr>
      <w:r>
        <w:rPr>
          <w:rFonts w:ascii="Calibri" w:cs="Calibri" w:eastAsia="Calibri" w:hAnsi="Calibri"/>
          <w:b/>
          <w:bCs/>
          <w:sz w:val="22"/>
          <w:szCs w:val="22"/>
        </w:rPr>
        <w:t xml:space="preserve">Recommendation: </w:t>
      </w:r>
      <w:r>
        <w:rPr>
          <w:rFonts w:ascii="Calibri" w:cs="Calibri" w:eastAsia="Calibri" w:hAnsi="Calibri"/>
          <w:sz w:val="22"/>
          <w:szCs w:val="22"/>
        </w:rPr>
        <w:t xml:space="preserve">Restore the per-account MOVE 0 TO WS-TOTAL-INT reset at the top of each new-account block.</w:t>
      </w:r>
    </w:p>
    <w:p>
      <w:r>
        <w:br/>
        <w:t xml:space="preserve"/>
      </w:r>
    </w:p>
    <w:p>
      <w:pPr>
        <w:pStyle w:val="Heading1"/>
        <w:spacing w:after="140" w:before="280"/>
      </w:pPr>
      <w:r>
        <w:rPr>
          <w:rFonts w:ascii="Calibri" w:cs="Calibri" w:eastAsia="Calibri" w:hAnsi="Calibri"/>
          <w:b/>
          <w:bCs/>
          <w:color w:val="1F3864"/>
        </w:rPr>
        <w:t xml:space="preserve">Deliverables</w:t>
      </w:r>
    </w:p>
    <w:p>
      <w:pPr>
        <w:spacing w:after="120"/>
      </w:pPr>
      <w:r>
        <w:rPr>
          <w:rFonts w:ascii="Calibri" w:cs="Calibri" w:eastAsia="Calibri" w:hAnsi="Calibri"/>
          <w:b/>
          <w:bCs/>
          <w:sz w:val="22"/>
          <w:szCs w:val="22"/>
        </w:rPr>
        <w:t xml:space="preserve">carddemo_modified.zip: </w:t>
      </w:r>
      <w:r>
        <w:rPr>
          <w:rFonts w:ascii="Calibri" w:cs="Calibri" w:eastAsia="Calibri" w:hAnsi="Calibri"/>
          <w:sz w:val="22"/>
          <w:szCs w:val="22"/>
        </w:rPr>
        <w:t xml:space="preserve">full source tree with all 7 injected issues applied (5 files touched: COSGN00C.cbl, COUSR01C.cbl, COTRTUPC.cbl, CBTRN02C.cbl, CBACT04C.cbl).</w:t>
      </w:r>
    </w:p>
    <w:p>
      <w:pPr>
        <w:spacing w:after="120"/>
      </w:pPr>
      <w:r>
        <w:rPr>
          <w:rFonts w:ascii="Calibri" w:cs="Calibri" w:eastAsia="Calibri" w:hAnsi="Calibri"/>
          <w:b/>
          <w:bCs/>
          <w:sz w:val="22"/>
          <w:szCs w:val="22"/>
        </w:rPr>
        <w:t xml:space="preserve">carddemo_injected_issues.diff: </w:t>
      </w:r>
      <w:r>
        <w:rPr>
          <w:rFonts w:ascii="Calibri" w:cs="Calibri" w:eastAsia="Calibri" w:hAnsi="Calibri"/>
          <w:sz w:val="22"/>
          <w:szCs w:val="22"/>
        </w:rPr>
        <w:t xml:space="preserve">unified diff of only the injected changes against a pristine upstream clone, for quick review or revert.</w:t>
      </w:r>
    </w:p>
    <w:p>
      <w:pPr>
        <w:spacing w:after="120"/>
      </w:pPr>
      <w:r>
        <w:rPr>
          <w:rFonts w:ascii="Calibri" w:cs="Calibri" w:eastAsia="Calibri" w:hAnsi="Calibri"/>
          <w:b/>
          <w:bCs/>
          <w:sz w:val="22"/>
          <w:szCs w:val="22"/>
        </w:rPr>
        <w:t xml:space="preserve">This report: </w:t>
      </w:r>
      <w:r>
        <w:rPr>
          <w:rFonts w:ascii="Calibri" w:cs="Calibri" w:eastAsia="Calibri" w:hAnsi="Calibri"/>
          <w:sz w:val="22"/>
          <w:szCs w:val="22"/>
        </w:rPr>
        <w:t xml:space="preserve">consolidated write-up of both the real findings (R1–R9) and injected findings (I1–I7) above.</w:t>
      </w:r>
    </w:p>
    <w:p>
      <w:pPr>
        <w:pStyle w:val="Heading1"/>
        <w:spacing w:after="140" w:before="280"/>
      </w:pPr>
      <w:r>
        <w:rPr>
          <w:rFonts w:ascii="Calibri" w:cs="Calibri" w:eastAsia="Calibri" w:hAnsi="Calibri"/>
          <w:b/>
          <w:bCs/>
          <w:color w:val="1F3864"/>
        </w:rPr>
        <w:t xml:space="preserve">Notes &amp; Caveats</w:t>
      </w:r>
    </w:p>
    <w:p>
      <w:pPr>
        <w:spacing w:after="120"/>
      </w:pPr>
      <w:r>
        <w:rPr>
          <w:rFonts w:ascii="Calibri" w:cs="Calibri" w:eastAsia="Calibri" w:hAnsi="Calibri"/>
          <w:sz w:val="22"/>
          <w:szCs w:val="22"/>
        </w:rPr>
        <w:t xml:space="preserve">This was a manual, sampled review of a subset of the ~85 COBOL/copybook modules (signon, user administration, batch transaction posting, interest calculation, and the DB2 transaction-type variant) plus the deployment scripts — not an exhaustive line-by-line audit of the entire codebase, JCL, BMS maps, or Db2/IMS DDL. Additional issues likely exist elsewhere in the untouched modules. Severities reflect the demo/training context of this codebase (it is explicitly a non-production sample application) but are framed as they would apply if this pattern shipped in a real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2026-07-28T13:22:43.074Z</dcterms:created>
  <dcterms:modified xsi:type="dcterms:W3CDTF">2026-07-28T13:22:43.074Z</dcterms:modified>
</cp:coreProperties>
</file>

<file path=docProps/custom.xml><?xml version="1.0" encoding="utf-8"?>
<Properties xmlns="http://schemas.openxmlformats.org/officeDocument/2006/custom-properties" xmlns:vt="http://schemas.openxmlformats.org/officeDocument/2006/docPropsVTypes"/>
</file>