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AF8C" w14:textId="77777777" w:rsidR="00E935C4" w:rsidRPr="00746845" w:rsidRDefault="00000000">
      <w:pPr>
        <w:spacing w:before="4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 xml:space="preserve">Cluster Visualisation, </w:t>
      </w:r>
      <w:proofErr w:type="spellStart"/>
      <w:r w:rsidRPr="00746845">
        <w:rPr>
          <w:rFonts w:ascii="Times New Roman" w:hAnsi="Times New Roman" w:cs="Times New Roman"/>
          <w:b/>
          <w:bCs/>
          <w:sz w:val="24"/>
          <w:szCs w:val="24"/>
        </w:rPr>
        <w:t>Labeling</w:t>
      </w:r>
      <w:proofErr w:type="spellEnd"/>
      <w:r w:rsidRPr="00746845">
        <w:rPr>
          <w:rFonts w:ascii="Times New Roman" w:hAnsi="Times New Roman" w:cs="Times New Roman"/>
          <w:b/>
          <w:bCs/>
          <w:sz w:val="24"/>
          <w:szCs w:val="24"/>
        </w:rPr>
        <w:t xml:space="preserve"> &amp; Interpretation</w:t>
      </w:r>
    </w:p>
    <w:p w14:paraId="37F65AE3" w14:textId="77777777" w:rsidR="00E935C4" w:rsidRPr="00746845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Clustering Analysis Deliverable</w:t>
      </w:r>
    </w:p>
    <w:p w14:paraId="010985D1" w14:textId="313DAD46" w:rsidR="00E935C4" w:rsidRPr="00746845" w:rsidRDefault="00000000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Algorithm: K-</w:t>
      </w:r>
      <w:r w:rsidR="001376B2" w:rsidRPr="00746845">
        <w:rPr>
          <w:rFonts w:ascii="Times New Roman" w:hAnsi="Times New Roman" w:cs="Times New Roman"/>
          <w:sz w:val="24"/>
          <w:szCs w:val="24"/>
        </w:rPr>
        <w:t>Means |</w:t>
      </w:r>
      <w:r w:rsidRPr="00746845">
        <w:rPr>
          <w:rFonts w:ascii="Times New Roman" w:hAnsi="Times New Roman" w:cs="Times New Roman"/>
          <w:sz w:val="24"/>
          <w:szCs w:val="24"/>
        </w:rPr>
        <w:t xml:space="preserve">  Optimal K: 5  |  Dataset: Dataset_ATS_v2.csv (7,043 records)</w:t>
      </w:r>
    </w:p>
    <w:p w14:paraId="655F641D" w14:textId="77777777" w:rsidR="00E935C4" w:rsidRPr="0074684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1. Overview</w:t>
      </w:r>
    </w:p>
    <w:p w14:paraId="1790876D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 xml:space="preserve">K-Means clustering with K=5 was applied to the </w:t>
      </w:r>
      <w:proofErr w:type="spellStart"/>
      <w:r w:rsidRPr="00746845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746845">
        <w:rPr>
          <w:rFonts w:ascii="Times New Roman" w:hAnsi="Times New Roman" w:cs="Times New Roman"/>
          <w:sz w:val="24"/>
          <w:szCs w:val="24"/>
        </w:rPr>
        <w:t xml:space="preserve"> customer dataset. The optimal number of clusters was determined using the Silhouette Score (best at K=5, score: 0.1744). PCA was used for 2D visualisation of the resulting clusters. This document provides labels, descriptions, and business insights for each identified cluster.</w:t>
      </w:r>
    </w:p>
    <w:p w14:paraId="1EA82C34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34B484EF" w14:textId="77777777" w:rsidR="00E935C4" w:rsidRPr="0074684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2. Cluster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2616"/>
        <w:gridCol w:w="1636"/>
        <w:gridCol w:w="1519"/>
        <w:gridCol w:w="1078"/>
        <w:gridCol w:w="1385"/>
      </w:tblGrid>
      <w:tr w:rsidR="00E935C4" w:rsidRPr="00746845" w14:paraId="732377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879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A5943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F3C0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Tenure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EA67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Charges/</w:t>
            </w:r>
            <w:proofErr w:type="spellStart"/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51FD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3313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</w:tr>
      <w:tr w:rsidR="00E935C4" w:rsidRPr="00746845" w14:paraId="3EF93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39B09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F839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Standard Non-Senior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BB42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~32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4A6A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EA3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 xml:space="preserve">0%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79EEF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23.2%</w:t>
            </w:r>
          </w:p>
        </w:tc>
      </w:tr>
      <w:tr w:rsidR="00E935C4" w:rsidRPr="00746845" w14:paraId="04A0E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8801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6002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At-Risk Mid-Tenure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12BFE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~31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175DA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307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 xml:space="preserve">0%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4FD0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25.7%</w:t>
            </w:r>
          </w:p>
        </w:tc>
      </w:tr>
      <w:tr w:rsidR="00E935C4" w:rsidRPr="00746845" w14:paraId="10739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E1E6F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2561A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Budget-Conscious Low-Cost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DEBC0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~32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A0975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~$32 (lowest)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985C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 xml:space="preserve">~15%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DE695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24.9%</w:t>
            </w:r>
          </w:p>
        </w:tc>
      </w:tr>
      <w:tr w:rsidR="00E935C4" w:rsidRPr="00746845" w14:paraId="00A37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5E57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1703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Loyal Long-Tenure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B6B63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~34 months (highest)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9AA5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07212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 xml:space="preserve">0%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51D5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21.5% (lowest)</w:t>
            </w:r>
          </w:p>
        </w:tc>
      </w:tr>
      <w:tr w:rsidR="00E935C4" w:rsidRPr="00746845" w14:paraId="5CFB5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930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E26D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High-Risk Senior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44E7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~33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43A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~$82 (highest)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F932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 xml:space="preserve">100%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FD99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41.6% (highest)</w:t>
            </w:r>
          </w:p>
        </w:tc>
      </w:tr>
    </w:tbl>
    <w:p w14:paraId="31EABD4B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156CA6B0" w14:textId="77777777" w:rsidR="00E935C4" w:rsidRPr="0074684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3. Detailed Cluster Interpretations</w:t>
      </w:r>
    </w:p>
    <w:p w14:paraId="04436982" w14:textId="77777777" w:rsidR="00E935C4" w:rsidRPr="0074684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Cluster 0: Standard Non-Senior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35C4" w:rsidRPr="00746845" w14:paraId="3628C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3633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Tenure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1F74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~32 months</w:t>
            </w:r>
          </w:p>
        </w:tc>
      </w:tr>
      <w:tr w:rsidR="00E935C4" w:rsidRPr="00746845" w14:paraId="5660B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581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Monthly Charges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7360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~$65</w:t>
            </w:r>
          </w:p>
        </w:tc>
      </w:tr>
      <w:tr w:rsidR="00E935C4" w:rsidRPr="00746845" w14:paraId="2CEA8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D4DF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Citizens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4A1F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0% seniors</w:t>
            </w:r>
          </w:p>
        </w:tc>
      </w:tr>
      <w:tr w:rsidR="00E935C4" w:rsidRPr="00746845" w14:paraId="46DE35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BA4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D2B2E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23.2%</w:t>
            </w:r>
          </w:p>
        </w:tc>
      </w:tr>
      <w:tr w:rsidR="00E935C4" w:rsidRPr="00746845" w14:paraId="54D42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4070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Size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DF8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~1,500 customers</w:t>
            </w:r>
          </w:p>
        </w:tc>
      </w:tr>
    </w:tbl>
    <w:p w14:paraId="6AA4883E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450B9820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lastRenderedPageBreak/>
        <w:t>Description: This cluster represents the largest group of typical non-senior customers with moderate billing and mid-range tenure. Their churn rate is below average, suggesting reasonable satisfaction with their current plan.</w:t>
      </w:r>
    </w:p>
    <w:p w14:paraId="68D7E927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>Business Insight: These customers are relatively stable. Targeted loyalty rewards or minor service upgrades could further reduce churn in this group.</w:t>
      </w:r>
    </w:p>
    <w:p w14:paraId="3E185BBA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4783D140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26FF668F" w14:textId="77777777" w:rsidR="00E935C4" w:rsidRPr="0074684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Cluster 1: At-Risk Mid-Tenure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35C4" w:rsidRPr="00746845" w14:paraId="305070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3B6A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Tenure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259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~31 months</w:t>
            </w:r>
          </w:p>
        </w:tc>
      </w:tr>
      <w:tr w:rsidR="00E935C4" w:rsidRPr="00746845" w14:paraId="0151B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712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Monthly Charges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47CBA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~$64</w:t>
            </w:r>
          </w:p>
        </w:tc>
      </w:tr>
      <w:tr w:rsidR="00E935C4" w:rsidRPr="00746845" w14:paraId="67EF3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529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Citizens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C80C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0% seniors</w:t>
            </w:r>
          </w:p>
        </w:tc>
      </w:tr>
      <w:tr w:rsidR="00E935C4" w:rsidRPr="00746845" w14:paraId="61F6B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ACD2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1FC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25.7%</w:t>
            </w:r>
          </w:p>
        </w:tc>
      </w:tr>
      <w:tr w:rsidR="00E935C4" w:rsidRPr="00746845" w14:paraId="6C8EB3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243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Size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2291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~1,400 customers</w:t>
            </w:r>
          </w:p>
        </w:tc>
      </w:tr>
    </w:tbl>
    <w:p w14:paraId="39961533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4DB81420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Description: Very similar to Cluster 0 in tenure and billing, but with a slightly higher churn rate. This indicates underlying dissatisfaction that is not immediately visible through billing or demographics alone.</w:t>
      </w:r>
    </w:p>
    <w:p w14:paraId="29E8FE39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>Business Insight: This segment should be monitored closely. Proactive customer service outreach or personalised offers could help prevent this group from churning.</w:t>
      </w:r>
    </w:p>
    <w:p w14:paraId="6A6D8814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070A4A06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30C68B18" w14:textId="77777777" w:rsidR="00E935C4" w:rsidRPr="0074684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Cluster 2: Budget-Conscious Low-Cost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35C4" w:rsidRPr="00746845" w14:paraId="4D896F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2D310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Tenure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E14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~32 months</w:t>
            </w:r>
          </w:p>
        </w:tc>
      </w:tr>
      <w:tr w:rsidR="00E935C4" w:rsidRPr="00746845" w14:paraId="39350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D2905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Monthly Charges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660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~$32 (lowest)</w:t>
            </w:r>
          </w:p>
        </w:tc>
      </w:tr>
      <w:tr w:rsidR="00E935C4" w:rsidRPr="00746845" w14:paraId="3A578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6F0C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Citizens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EE22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~15% seniors</w:t>
            </w:r>
          </w:p>
        </w:tc>
      </w:tr>
      <w:tr w:rsidR="00E935C4" w:rsidRPr="00746845" w14:paraId="69B22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79A5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F3D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24.9%</w:t>
            </w:r>
          </w:p>
        </w:tc>
      </w:tr>
      <w:tr w:rsidR="00E935C4" w:rsidRPr="00746845" w14:paraId="6AB652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7D89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Size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D244C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~1,300 customers</w:t>
            </w:r>
          </w:p>
        </w:tc>
      </w:tr>
    </w:tbl>
    <w:p w14:paraId="6F93381E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7DDCD932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Description: These customers pay the lowest monthly charges, with a small proportion of seniors. Despite low spending, their churn rate is moderate, suggesting price sensitivity may be a concern if charges increase.</w:t>
      </w:r>
    </w:p>
    <w:p w14:paraId="1C854E93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>Business Insight: Offering budget-friendly plan options and avoiding sudden price increases will be critical for retaining this group.</w:t>
      </w:r>
    </w:p>
    <w:p w14:paraId="4124172C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2099CE8D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4795A959" w14:textId="77777777" w:rsidR="00E935C4" w:rsidRPr="0074684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lastRenderedPageBreak/>
        <w:t>Cluster 3: Loyal Long-Tenure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35C4" w:rsidRPr="00746845" w14:paraId="03A0C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A90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Tenure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4863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~34 months (highest)</w:t>
            </w:r>
          </w:p>
        </w:tc>
      </w:tr>
      <w:tr w:rsidR="00E935C4" w:rsidRPr="00746845" w14:paraId="6FABA0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38B3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Monthly Charges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BC67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~$62</w:t>
            </w:r>
          </w:p>
        </w:tc>
      </w:tr>
      <w:tr w:rsidR="00E935C4" w:rsidRPr="00746845" w14:paraId="1F52D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A428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Citizens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DE9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0% seniors</w:t>
            </w:r>
          </w:p>
        </w:tc>
      </w:tr>
      <w:tr w:rsidR="00E935C4" w:rsidRPr="00746845" w14:paraId="6FD06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AF3D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881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21.5% (lowest)</w:t>
            </w:r>
          </w:p>
        </w:tc>
      </w:tr>
      <w:tr w:rsidR="00E935C4" w:rsidRPr="00746845" w14:paraId="603E5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2CE3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Size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C89E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~1,600 customers</w:t>
            </w:r>
          </w:p>
        </w:tc>
      </w:tr>
    </w:tbl>
    <w:p w14:paraId="51F0EC12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229D3F04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Description: This is the most loyal and stable segment. These customers have the longest average tenure and the lowest churn rate, indicating strong satisfaction and high retention.</w:t>
      </w:r>
    </w:p>
    <w:p w14:paraId="05873314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>Business Insight: These customers are ideal candidates for upselling premium plans or referral programmes. They represent the highest lifetime value segment.</w:t>
      </w:r>
    </w:p>
    <w:p w14:paraId="2EBF49B4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7B7B4425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42F243C4" w14:textId="77777777" w:rsidR="00E935C4" w:rsidRPr="00746845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Cluster 4: High-Risk Senior Customers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935C4" w:rsidRPr="00746845" w14:paraId="29927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E87A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Tenure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6D628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~33 months</w:t>
            </w:r>
          </w:p>
        </w:tc>
      </w:tr>
      <w:tr w:rsidR="00E935C4" w:rsidRPr="00746845" w14:paraId="182C1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8D1A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Avg. Monthly Charges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E1B5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~$82 (highest)</w:t>
            </w:r>
          </w:p>
        </w:tc>
      </w:tr>
      <w:tr w:rsidR="00E935C4" w:rsidRPr="00746845" w14:paraId="5300A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D7E4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Citizens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03150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100% seniors</w:t>
            </w:r>
          </w:p>
        </w:tc>
      </w:tr>
      <w:tr w:rsidR="00E935C4" w:rsidRPr="00746845" w14:paraId="50C48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6231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Churn Rate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D886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41.6% (highest)</w:t>
            </w:r>
          </w:p>
        </w:tc>
      </w:tr>
      <w:tr w:rsidR="00E935C4" w:rsidRPr="00746845" w14:paraId="3C601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8A9FC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Approx. Size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F86B" w14:textId="77777777" w:rsidR="00E935C4" w:rsidRPr="0074684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845">
              <w:rPr>
                <w:rFonts w:ascii="Times New Roman" w:hAnsi="Times New Roman" w:cs="Times New Roman"/>
                <w:sz w:val="24"/>
                <w:szCs w:val="24"/>
              </w:rPr>
              <w:t>~1,200 customers</w:t>
            </w:r>
          </w:p>
        </w:tc>
      </w:tr>
    </w:tbl>
    <w:p w14:paraId="4CBF8025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69A3F490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Description: Entirely composed of senior citizens, this cluster has the highest monthly charges and by far the highest churn rate at 41.6% — nearly double compared to other clusters. The combination of high billing and senior demographics signals a critical retention risk.</w:t>
      </w:r>
    </w:p>
    <w:p w14:paraId="51EA3272" w14:textId="77777777" w:rsidR="00E935C4" w:rsidRPr="00746845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b/>
          <w:bCs/>
          <w:sz w:val="24"/>
          <w:szCs w:val="24"/>
        </w:rPr>
        <w:t>Business Insight: This is the most urgent segment for intervention. Senior-friendly pricing plans, dedicated support channels, and retention campaigns are strongly recommended for this group.</w:t>
      </w:r>
    </w:p>
    <w:p w14:paraId="209E1C1A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6CA8DF5E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p w14:paraId="258E15C2" w14:textId="77777777" w:rsidR="00E935C4" w:rsidRPr="00746845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6845">
        <w:rPr>
          <w:rFonts w:ascii="Times New Roman" w:hAnsi="Times New Roman" w:cs="Times New Roman"/>
          <w:color w:val="auto"/>
          <w:sz w:val="24"/>
          <w:szCs w:val="24"/>
        </w:rPr>
        <w:t>4. Key Findings</w:t>
      </w:r>
    </w:p>
    <w:p w14:paraId="56E569A6" w14:textId="77777777" w:rsidR="00E935C4" w:rsidRPr="007468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Cluster 4 (High-Risk Senior Customers) is the most critical — 100% seniors, highest charges (~$82), and 41.6% churn rate.</w:t>
      </w:r>
    </w:p>
    <w:p w14:paraId="3A12EBA8" w14:textId="77777777" w:rsidR="00E935C4" w:rsidRPr="007468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Cluster 3 (Loyal Long-Tenure Customers) is the most stable segment with the lowest churn (21.5%) and longest tenure (~34 months).</w:t>
      </w:r>
    </w:p>
    <w:p w14:paraId="02E76A85" w14:textId="77777777" w:rsidR="00E935C4" w:rsidRPr="007468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lastRenderedPageBreak/>
        <w:t>Cluster 2 (Budget-Conscious) pays the lowest charges (~$32) but still shows a moderate churn of 24.9%, suggesting price sensitivity.</w:t>
      </w:r>
    </w:p>
    <w:p w14:paraId="02EE25AB" w14:textId="77777777" w:rsidR="00E935C4" w:rsidRPr="007468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746845">
        <w:rPr>
          <w:rFonts w:ascii="Times New Roman" w:hAnsi="Times New Roman" w:cs="Times New Roman"/>
          <w:sz w:val="24"/>
          <w:szCs w:val="24"/>
        </w:rPr>
        <w:t>Clusters 0 and 1 are demographically similar but Cluster 1 has a slightly higher churn, indicating hidden dissatisfaction.</w:t>
      </w:r>
    </w:p>
    <w:p w14:paraId="0527D131" w14:textId="77777777" w:rsidR="00E935C4" w:rsidRPr="00746845" w:rsidRDefault="00E935C4">
      <w:pPr>
        <w:rPr>
          <w:rFonts w:ascii="Times New Roman" w:hAnsi="Times New Roman" w:cs="Times New Roman"/>
          <w:sz w:val="24"/>
          <w:szCs w:val="24"/>
        </w:rPr>
      </w:pPr>
    </w:p>
    <w:sectPr w:rsidR="00E935C4" w:rsidRPr="00746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C7980"/>
    <w:multiLevelType w:val="hybridMultilevel"/>
    <w:tmpl w:val="DE64470A"/>
    <w:lvl w:ilvl="0" w:tplc="A1C223D4">
      <w:start w:val="1"/>
      <w:numFmt w:val="bullet"/>
      <w:lvlText w:val="•"/>
      <w:lvlJc w:val="left"/>
      <w:pPr>
        <w:ind w:left="720" w:hanging="360"/>
      </w:pPr>
    </w:lvl>
    <w:lvl w:ilvl="1" w:tplc="C242DE46">
      <w:numFmt w:val="decimal"/>
      <w:lvlText w:val=""/>
      <w:lvlJc w:val="left"/>
    </w:lvl>
    <w:lvl w:ilvl="2" w:tplc="BC4A0B30">
      <w:numFmt w:val="decimal"/>
      <w:lvlText w:val=""/>
      <w:lvlJc w:val="left"/>
    </w:lvl>
    <w:lvl w:ilvl="3" w:tplc="9F18F106">
      <w:numFmt w:val="decimal"/>
      <w:lvlText w:val=""/>
      <w:lvlJc w:val="left"/>
    </w:lvl>
    <w:lvl w:ilvl="4" w:tplc="FEE43D24">
      <w:numFmt w:val="decimal"/>
      <w:lvlText w:val=""/>
      <w:lvlJc w:val="left"/>
    </w:lvl>
    <w:lvl w:ilvl="5" w:tplc="F6329A82">
      <w:numFmt w:val="decimal"/>
      <w:lvlText w:val=""/>
      <w:lvlJc w:val="left"/>
    </w:lvl>
    <w:lvl w:ilvl="6" w:tplc="016041F6">
      <w:numFmt w:val="decimal"/>
      <w:lvlText w:val=""/>
      <w:lvlJc w:val="left"/>
    </w:lvl>
    <w:lvl w:ilvl="7" w:tplc="CCFEDA7C">
      <w:numFmt w:val="decimal"/>
      <w:lvlText w:val=""/>
      <w:lvlJc w:val="left"/>
    </w:lvl>
    <w:lvl w:ilvl="8" w:tplc="514C4FFE">
      <w:numFmt w:val="decimal"/>
      <w:lvlText w:val=""/>
      <w:lvlJc w:val="left"/>
    </w:lvl>
  </w:abstractNum>
  <w:abstractNum w:abstractNumId="1" w15:restartNumberingAfterBreak="0">
    <w:nsid w:val="689F6FF0"/>
    <w:multiLevelType w:val="hybridMultilevel"/>
    <w:tmpl w:val="86C483EC"/>
    <w:lvl w:ilvl="0" w:tplc="80D278E6">
      <w:start w:val="1"/>
      <w:numFmt w:val="bullet"/>
      <w:lvlText w:val="●"/>
      <w:lvlJc w:val="left"/>
      <w:pPr>
        <w:ind w:left="720" w:hanging="360"/>
      </w:pPr>
    </w:lvl>
    <w:lvl w:ilvl="1" w:tplc="A61AD318">
      <w:start w:val="1"/>
      <w:numFmt w:val="bullet"/>
      <w:lvlText w:val="○"/>
      <w:lvlJc w:val="left"/>
      <w:pPr>
        <w:ind w:left="1440" w:hanging="360"/>
      </w:pPr>
    </w:lvl>
    <w:lvl w:ilvl="2" w:tplc="D1FADA96">
      <w:start w:val="1"/>
      <w:numFmt w:val="bullet"/>
      <w:lvlText w:val="■"/>
      <w:lvlJc w:val="left"/>
      <w:pPr>
        <w:ind w:left="2160" w:hanging="360"/>
      </w:pPr>
    </w:lvl>
    <w:lvl w:ilvl="3" w:tplc="513E5228">
      <w:start w:val="1"/>
      <w:numFmt w:val="bullet"/>
      <w:lvlText w:val="●"/>
      <w:lvlJc w:val="left"/>
      <w:pPr>
        <w:ind w:left="2880" w:hanging="360"/>
      </w:pPr>
    </w:lvl>
    <w:lvl w:ilvl="4" w:tplc="47DE878A">
      <w:start w:val="1"/>
      <w:numFmt w:val="bullet"/>
      <w:lvlText w:val="○"/>
      <w:lvlJc w:val="left"/>
      <w:pPr>
        <w:ind w:left="3600" w:hanging="360"/>
      </w:pPr>
    </w:lvl>
    <w:lvl w:ilvl="5" w:tplc="5142B15C">
      <w:start w:val="1"/>
      <w:numFmt w:val="bullet"/>
      <w:lvlText w:val="■"/>
      <w:lvlJc w:val="left"/>
      <w:pPr>
        <w:ind w:left="4320" w:hanging="360"/>
      </w:pPr>
    </w:lvl>
    <w:lvl w:ilvl="6" w:tplc="9732F68C">
      <w:start w:val="1"/>
      <w:numFmt w:val="bullet"/>
      <w:lvlText w:val="●"/>
      <w:lvlJc w:val="left"/>
      <w:pPr>
        <w:ind w:left="5040" w:hanging="360"/>
      </w:pPr>
    </w:lvl>
    <w:lvl w:ilvl="7" w:tplc="F69C8476">
      <w:start w:val="1"/>
      <w:numFmt w:val="bullet"/>
      <w:lvlText w:val="●"/>
      <w:lvlJc w:val="left"/>
      <w:pPr>
        <w:ind w:left="5760" w:hanging="360"/>
      </w:pPr>
    </w:lvl>
    <w:lvl w:ilvl="8" w:tplc="4A2CDB18">
      <w:start w:val="1"/>
      <w:numFmt w:val="bullet"/>
      <w:lvlText w:val="●"/>
      <w:lvlJc w:val="left"/>
      <w:pPr>
        <w:ind w:left="6480" w:hanging="360"/>
      </w:pPr>
    </w:lvl>
  </w:abstractNum>
  <w:num w:numId="1" w16cid:durableId="1929537806">
    <w:abstractNumId w:val="1"/>
    <w:lvlOverride w:ilvl="0">
      <w:startOverride w:val="1"/>
    </w:lvlOverride>
  </w:num>
  <w:num w:numId="2" w16cid:durableId="950627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C4"/>
    <w:rsid w:val="001376B2"/>
    <w:rsid w:val="00746845"/>
    <w:rsid w:val="00E935C4"/>
    <w:rsid w:val="00F1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A56C"/>
  <w15:docId w15:val="{094F0EE0-5951-4B58-A376-03AF3684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2026-03-11T06:35:00Z</dcterms:created>
  <dcterms:modified xsi:type="dcterms:W3CDTF">2026-03-11T06:43:00Z</dcterms:modified>
</cp:coreProperties>
</file>