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rFonts w:ascii="Arial" w:hAnsi="Arial"/>
          <w:b/>
          <w:color w:val="1B365D"/>
          <w:sz w:val="56"/>
        </w:rPr>
        <w:t>SOFTWARE PROJECT SPECIFICATION</w:t>
        <w:br/>
        <w:t>AND REQUIREMENTS ANALYSIS</w:t>
      </w:r>
    </w:p>
    <w:p>
      <w:pPr>
        <w:spacing w:after="400"/>
        <w:jc w:val="center"/>
      </w:pPr>
      <w:r>
        <w:rPr>
          <w:rFonts w:ascii="Arial" w:hAnsi="Arial"/>
          <w:i/>
          <w:color w:val="475569"/>
          <w:sz w:val="32"/>
        </w:rPr>
        <w:t>Community Food Surplus Portal &amp; Ledger System</w:t>
      </w:r>
    </w:p>
    <w:p>
      <w:pPr>
        <w:spacing w:before="3600"/>
        <w:jc w:val="center"/>
      </w:pPr>
      <w:r>
        <w:rPr>
          <w:rFonts w:ascii="Arial" w:hAnsi="Arial"/>
          <w:color w:val="64748B"/>
          <w:sz w:val="22"/>
        </w:rPr>
        <w:t>Prepared For: Academic &amp; Software Engineering Reference</w:t>
        <w:br/>
        <w:t>Project Version: 1.2.0 (Stable)</w:t>
        <w:br/>
        <w:t>Date of Specification: July 2026</w:t>
        <w:br/>
        <w:t>Document Status: Approved / Production-Ready</w:t>
      </w:r>
    </w:p>
    <w:p>
      <w:r>
        <w:br w:type="page"/>
      </w:r>
    </w:p>
    <w:p>
      <w:pPr>
        <w:keepNext/>
        <w:spacing w:before="360" w:after="120"/>
      </w:pPr>
      <w:r>
        <w:rPr>
          <w:rFonts w:ascii="Arial" w:hAnsi="Arial"/>
          <w:b/>
          <w:color w:val="1B365D"/>
          <w:sz w:val="36"/>
        </w:rPr>
        <w:t>Table of Contents</w:t>
      </w:r>
    </w:p>
    <w:p>
      <w:pPr>
        <w:spacing w:line="312" w:lineRule="auto"/>
      </w:pPr>
      <w:r>
        <w:rPr>
          <w:rFonts w:ascii="Arial" w:hAnsi="Arial"/>
          <w:color w:val="0F172A"/>
          <w:sz w:val="22"/>
        </w:rPr>
        <w:t>1. Project Overview &amp; Scope ................................................................................................ 3</w:t>
        <w:br/>
        <w:t>2. Stakeholder &amp; Requirement Gathering Approach ................................................................. 4</w:t>
        <w:br/>
        <w:t>3. Functional Requirements &amp; Role-Based Access Control (RBAC) ........................................ 5</w:t>
        <w:br/>
        <w:t>4. Non-Functional Requirements ........................................................................................... 7</w:t>
        <w:br/>
        <w:t>5. System Architecture &amp; Technology Stack ............................................................................ 8</w:t>
        <w:br/>
        <w:t>6. Database Model &amp; Schema Specifications ............................................................................ 9</w:t>
        <w:br/>
        <w:t>7. API &amp; Integration Requirements ......................................................................................... 11</w:t>
        <w:br/>
        <w:t>8. Frontend &amp; UI/UX Design System ...................................................................................... 12</w:t>
        <w:br/>
        <w:t>9. Validation, Testing &amp; Environment Requirements ................................................................ 13</w:t>
        <w:br/>
        <w:t>10. Potential Gaps &amp; Missing Requirements (Critical Analysis) ................................................ 15</w:t>
        <w:br/>
        <w:t>11. Requirements Review Checklist .......................................................................................... 17</w:t>
      </w:r>
    </w:p>
    <w:p>
      <w:r>
        <w:br w:type="page"/>
      </w:r>
    </w:p>
    <w:p>
      <w:pPr>
        <w:keepNext/>
        <w:spacing w:before="360" w:after="120"/>
      </w:pPr>
      <w:r>
        <w:rPr>
          <w:rFonts w:ascii="Arial" w:hAnsi="Arial"/>
          <w:b/>
          <w:color w:val="1B365D"/>
          <w:sz w:val="36"/>
        </w:rPr>
        <w:t>1. Project Overview &amp; Scope</w:t>
      </w:r>
    </w:p>
    <w:p>
      <w:pPr>
        <w:keepNext/>
        <w:spacing w:before="240" w:after="80"/>
      </w:pPr>
      <w:r>
        <w:rPr>
          <w:rFonts w:ascii="Arial" w:hAnsi="Arial"/>
          <w:b/>
          <w:color w:val="4F46E5"/>
          <w:sz w:val="28"/>
        </w:rPr>
        <w:t>1.1 Project Overview</w:t>
      </w:r>
    </w:p>
    <w:p>
      <w:pPr>
        <w:spacing w:after="160" w:line="276" w:lineRule="auto"/>
      </w:pPr>
      <w:r>
        <w:rPr>
          <w:rFonts w:ascii="Arial" w:hAnsi="Arial"/>
          <w:i w:val="0"/>
          <w:color w:val="0F172A"/>
          <w:sz w:val="21"/>
        </w:rPr>
        <w:t>The Community Food Surplus Portal &amp; Ledger System is an interactive, role-based platform designed to coordinate the rescue and distribution of surplus food. It connects local food donors (grocery stores, restaurants, farms) with certified soup kitchens and shelters, establishing a secure custody log and tracking reputation milestones. Built on a geospatial query network, the system matches nearby surplus assets in real-time, reducing transit delays, avoiding spoilage, and tracking transparency.</w:t>
      </w:r>
    </w:p>
    <w:p>
      <w:pPr>
        <w:keepNext/>
        <w:spacing w:before="240" w:after="80"/>
      </w:pPr>
      <w:r>
        <w:rPr>
          <w:rFonts w:ascii="Arial" w:hAnsi="Arial"/>
          <w:b/>
          <w:color w:val="4F46E5"/>
          <w:sz w:val="28"/>
        </w:rPr>
        <w:t>1.2 Objectives and Goals</w:t>
      </w:r>
    </w:p>
    <w:p>
      <w:pPr>
        <w:pStyle w:val="ListBullet"/>
        <w:spacing w:after="80" w:line="276" w:lineRule="auto"/>
      </w:pPr>
      <w:r>
        <w:rPr>
          <w:rFonts w:ascii="Arial" w:hAnsi="Arial"/>
          <w:b/>
          <w:color w:val="0F172A"/>
          <w:sz w:val="21"/>
        </w:rPr>
        <w:t>Proximity Matching:</w:t>
      </w:r>
      <w:r>
        <w:rPr>
          <w:rFonts w:ascii="Arial" w:hAnsi="Arial"/>
          <w:color w:val="0F172A"/>
          <w:sz w:val="21"/>
        </w:rPr>
        <w:t>Coordinate real-time, proximity-aware matches between excess food providers and local kitchens.</w:t>
      </w:r>
    </w:p>
    <w:p>
      <w:pPr>
        <w:pStyle w:val="ListBullet"/>
        <w:spacing w:after="80" w:line="276" w:lineRule="auto"/>
      </w:pPr>
      <w:r>
        <w:rPr>
          <w:rFonts w:ascii="Arial" w:hAnsi="Arial"/>
          <w:b/>
          <w:color w:val="0F172A"/>
          <w:sz w:val="21"/>
        </w:rPr>
        <w:t>Custody Verification:</w:t>
      </w:r>
      <w:r>
        <w:rPr>
          <w:rFonts w:ascii="Arial" w:hAnsi="Arial"/>
          <w:color w:val="0F172A"/>
          <w:sz w:val="21"/>
        </w:rPr>
        <w:t>Establish a robust custody trail (Listed, Approved, Claimed, Picked Up, Verified) to prevent quality issues.</w:t>
      </w:r>
    </w:p>
    <w:p>
      <w:pPr>
        <w:pStyle w:val="ListBullet"/>
        <w:spacing w:after="80" w:line="276" w:lineRule="auto"/>
      </w:pPr>
      <w:r>
        <w:rPr>
          <w:rFonts w:ascii="Arial" w:hAnsi="Arial"/>
          <w:b/>
          <w:color w:val="0F172A"/>
          <w:sz w:val="21"/>
        </w:rPr>
        <w:t>Reputation ledger:</w:t>
      </w:r>
      <w:r>
        <w:rPr>
          <w:rFonts w:ascii="Arial" w:hAnsi="Arial"/>
          <w:color w:val="0F172A"/>
          <w:sz w:val="21"/>
        </w:rPr>
        <w:t>Encourage good donor behavior by calculating dynamic reputation scores and suspending low-rating accounts.</w:t>
      </w:r>
    </w:p>
    <w:p>
      <w:pPr>
        <w:pStyle w:val="ListBullet"/>
        <w:spacing w:after="80" w:line="276" w:lineRule="auto"/>
      </w:pPr>
      <w:r>
        <w:rPr>
          <w:rFonts w:ascii="Arial" w:hAnsi="Arial"/>
          <w:b/>
          <w:color w:val="0F172A"/>
          <w:sz w:val="21"/>
        </w:rPr>
        <w:t>Admin Oversight:</w:t>
      </w:r>
      <w:r>
        <w:rPr>
          <w:rFonts w:ascii="Arial" w:hAnsi="Arial"/>
          <w:color w:val="0F172A"/>
          <w:sz w:val="21"/>
        </w:rPr>
        <w:t>Develop a high-performance administrative center to audit listings, manage disputes, and oversee accounts.</w:t>
      </w:r>
    </w:p>
    <w:p>
      <w:pPr>
        <w:keepNext/>
        <w:spacing w:before="240" w:after="80"/>
      </w:pPr>
      <w:r>
        <w:rPr>
          <w:rFonts w:ascii="Arial" w:hAnsi="Arial"/>
          <w:b/>
          <w:color w:val="4F46E5"/>
          <w:sz w:val="28"/>
        </w:rPr>
        <w:t>1.3 Problem Statement</w:t>
      </w:r>
    </w:p>
    <w:p>
      <w:pPr>
        <w:spacing w:after="160" w:line="276" w:lineRule="auto"/>
      </w:pPr>
      <w:r>
        <w:rPr>
          <w:rFonts w:ascii="Arial" w:hAnsi="Arial"/>
          <w:i w:val="0"/>
          <w:color w:val="0F172A"/>
          <w:sz w:val="21"/>
        </w:rPr>
        <w:t>Modern supply chains suffer from a matching paradox: commercial establishments discard consumable food products daily due to inventory surpluses, while neighboring food banks struggle to source nutrition due to coordinate mismatches and lack of pickup transportation. Existing platforms lack structural verification codes and accountability systems, leading to transport waste, disputes, and potential health hazards from unmonitored storage conditions.</w:t>
      </w:r>
    </w:p>
    <w:p>
      <w:pPr>
        <w:keepNext/>
        <w:spacing w:before="240" w:after="80"/>
      </w:pPr>
      <w:r>
        <w:rPr>
          <w:rFonts w:ascii="Arial" w:hAnsi="Arial"/>
          <w:b/>
          <w:color w:val="4F46E5"/>
          <w:sz w:val="28"/>
        </w:rPr>
        <w:t>1.4 Scope of the Project</w:t>
      </w:r>
    </w:p>
    <w:p>
      <w:pPr>
        <w:keepNext/>
        <w:spacing w:before="160" w:after="40"/>
      </w:pPr>
      <w:r>
        <w:rPr>
          <w:rFonts w:ascii="Arial" w:hAnsi="Arial"/>
          <w:b/>
          <w:color w:val="475569"/>
          <w:sz w:val="23"/>
        </w:rPr>
        <w:t>In-scope features:</w:t>
      </w:r>
    </w:p>
    <w:p>
      <w:pPr>
        <w:pStyle w:val="ListBullet"/>
        <w:spacing w:after="80" w:line="276" w:lineRule="auto"/>
      </w:pPr>
      <w:r>
        <w:rPr>
          <w:rFonts w:ascii="Arial" w:hAnsi="Arial"/>
          <w:color w:val="0F172A"/>
          <w:sz w:val="21"/>
        </w:rPr>
        <w:t>Role-based login and registration (Donor, Soup Kitchen, System Admin) with leaflet coordinate mapping.</w:t>
      </w:r>
    </w:p>
    <w:p>
      <w:pPr>
        <w:pStyle w:val="ListBullet"/>
        <w:spacing w:after="80" w:line="276" w:lineRule="auto"/>
      </w:pPr>
      <w:r>
        <w:rPr>
          <w:rFonts w:ascii="Arial" w:hAnsi="Arial"/>
          <w:color w:val="0F172A"/>
          <w:sz w:val="21"/>
        </w:rPr>
        <w:t>Surplus creation workflow for Donors with custom units, category badges, storage types, and expiry parameters.</w:t>
      </w:r>
    </w:p>
    <w:p>
      <w:pPr>
        <w:pStyle w:val="ListBullet"/>
        <w:spacing w:after="80" w:line="276" w:lineRule="auto"/>
      </w:pPr>
      <w:r>
        <w:rPr>
          <w:rFonts w:ascii="Arial" w:hAnsi="Arial"/>
          <w:color w:val="0F172A"/>
          <w:sz w:val="21"/>
        </w:rPr>
        <w:t>Geo-sorting feeds matching available surplus to nearby kitchens using MongoDB 2dsphere proximity coordinates.</w:t>
      </w:r>
    </w:p>
    <w:p>
      <w:pPr>
        <w:pStyle w:val="ListBullet"/>
        <w:spacing w:after="80" w:line="276" w:lineRule="auto"/>
      </w:pPr>
      <w:r>
        <w:rPr>
          <w:rFonts w:ascii="Arial" w:hAnsi="Arial"/>
          <w:color w:val="0F172A"/>
          <w:sz w:val="21"/>
        </w:rPr>
        <w:t>Claim reservation flow with structural secure verification codes required for handoffs.</w:t>
      </w:r>
    </w:p>
    <w:p>
      <w:pPr>
        <w:pStyle w:val="ListBullet"/>
        <w:spacing w:after="80" w:line="276" w:lineRule="auto"/>
      </w:pPr>
      <w:r>
        <w:rPr>
          <w:rFonts w:ascii="Arial" w:hAnsi="Arial"/>
          <w:color w:val="0F172A"/>
          <w:sz w:val="21"/>
        </w:rPr>
        <w:t>Kitchen quality dispute log with administrative oversight to uphold disputes (deducting reputation) or dismiss them.</w:t>
      </w:r>
    </w:p>
    <w:p>
      <w:pPr>
        <w:pStyle w:val="ListBullet"/>
        <w:spacing w:after="80" w:line="276" w:lineRule="auto"/>
      </w:pPr>
      <w:r>
        <w:rPr>
          <w:rFonts w:ascii="Arial" w:hAnsi="Arial"/>
          <w:color w:val="0F172A"/>
          <w:sz w:val="21"/>
        </w:rPr>
        <w:t>Dynamic reputation ledger displaying organization rankings and automatic suspension parameters.</w:t>
      </w:r>
    </w:p>
    <w:p>
      <w:pPr>
        <w:pStyle w:val="ListBullet"/>
        <w:spacing w:after="80" w:line="276" w:lineRule="auto"/>
      </w:pPr>
      <w:r>
        <w:rPr>
          <w:rFonts w:ascii="Arial" w:hAnsi="Arial"/>
          <w:color w:val="0F172A"/>
          <w:sz w:val="21"/>
        </w:rPr>
        <w:t>Global Search bar filtering lists dynamically by keyword, category, status, or organization.</w:t>
      </w:r>
    </w:p>
    <w:p>
      <w:pPr>
        <w:pStyle w:val="ListBullet"/>
        <w:spacing w:after="80" w:line="276" w:lineRule="auto"/>
      </w:pPr>
      <w:r>
        <w:rPr>
          <w:rFonts w:ascii="Arial" w:hAnsi="Arial"/>
          <w:color w:val="0F172A"/>
          <w:sz w:val="21"/>
        </w:rPr>
        <w:t>Interactive Top Header Console featuring quick keyboard shortcut triggers and dropdown notification/profile menus.</w:t>
      </w:r>
    </w:p>
    <w:p>
      <w:pPr>
        <w:keepNext/>
        <w:spacing w:before="160" w:after="40"/>
      </w:pPr>
      <w:r>
        <w:rPr>
          <w:rFonts w:ascii="Arial" w:hAnsi="Arial"/>
          <w:b/>
          <w:color w:val="475569"/>
          <w:sz w:val="23"/>
        </w:rPr>
        <w:t>Out-of-scope features:</w:t>
      </w:r>
    </w:p>
    <w:p>
      <w:pPr>
        <w:pStyle w:val="ListBullet"/>
        <w:spacing w:after="80" w:line="276" w:lineRule="auto"/>
      </w:pPr>
      <w:r>
        <w:rPr>
          <w:rFonts w:ascii="Arial" w:hAnsi="Arial"/>
          <w:color w:val="0F172A"/>
          <w:sz w:val="21"/>
        </w:rPr>
        <w:t>Payment processing or donation tax receipt generation.</w:t>
      </w:r>
    </w:p>
    <w:p>
      <w:pPr>
        <w:pStyle w:val="ListBullet"/>
        <w:spacing w:after="80" w:line="276" w:lineRule="auto"/>
      </w:pPr>
      <w:r>
        <w:rPr>
          <w:rFonts w:ascii="Arial" w:hAnsi="Arial"/>
          <w:color w:val="0F172A"/>
          <w:sz w:val="21"/>
        </w:rPr>
        <w:t>Integrated logistics fleet tracking or vehicle routing APIs (limited to coordinates maps).</w:t>
      </w:r>
    </w:p>
    <w:p>
      <w:pPr>
        <w:pStyle w:val="ListBullet"/>
        <w:spacing w:after="80" w:line="276" w:lineRule="auto"/>
      </w:pPr>
      <w:r>
        <w:rPr>
          <w:rFonts w:ascii="Arial" w:hAnsi="Arial"/>
          <w:color w:val="0F172A"/>
          <w:sz w:val="21"/>
        </w:rPr>
        <w:t>Social media feeds or direct chat channels (limited to notification alerts).</w:t>
      </w:r>
    </w:p>
    <w:p>
      <w:r>
        <w:br w:type="page"/>
      </w:r>
    </w:p>
    <w:p>
      <w:pPr>
        <w:keepNext/>
        <w:spacing w:before="360" w:after="120"/>
      </w:pPr>
      <w:r>
        <w:rPr>
          <w:rFonts w:ascii="Arial" w:hAnsi="Arial"/>
          <w:b/>
          <w:color w:val="1B365D"/>
          <w:sz w:val="36"/>
        </w:rPr>
        <w:t>2. Stakeholder &amp; Requirement Gathering Approach</w:t>
      </w:r>
    </w:p>
    <w:p>
      <w:pPr>
        <w:keepNext/>
        <w:spacing w:before="240" w:after="80"/>
      </w:pPr>
      <w:r>
        <w:rPr>
          <w:rFonts w:ascii="Arial" w:hAnsi="Arial"/>
          <w:b/>
          <w:color w:val="4F46E5"/>
          <w:sz w:val="28"/>
        </w:rPr>
        <w:t>2.1 Stakeholder Identification</w:t>
      </w:r>
    </w:p>
    <w:p>
      <w:pPr>
        <w:pStyle w:val="ListBullet"/>
        <w:spacing w:after="80" w:line="276" w:lineRule="auto"/>
      </w:pPr>
      <w:r>
        <w:rPr>
          <w:rFonts w:ascii="Arial" w:hAnsi="Arial"/>
          <w:b/>
          <w:color w:val="0F172A"/>
          <w:sz w:val="21"/>
        </w:rPr>
        <w:t>Donors (Providers):</w:t>
      </w:r>
      <w:r>
        <w:rPr>
          <w:rFonts w:ascii="Arial" w:hAnsi="Arial"/>
          <w:color w:val="0F172A"/>
          <w:sz w:val="21"/>
        </w:rPr>
        <w:t>Supermarkets, retail chains, bakeries, and farms uploading surplus inventories.</w:t>
      </w:r>
    </w:p>
    <w:p>
      <w:pPr>
        <w:pStyle w:val="ListBullet"/>
        <w:spacing w:after="80" w:line="276" w:lineRule="auto"/>
      </w:pPr>
      <w:r>
        <w:rPr>
          <w:rFonts w:ascii="Arial" w:hAnsi="Arial"/>
          <w:b/>
          <w:color w:val="0F172A"/>
          <w:sz w:val="21"/>
        </w:rPr>
        <w:t>Recipients (Kitchens):</w:t>
      </w:r>
      <w:r>
        <w:rPr>
          <w:rFonts w:ascii="Arial" w:hAnsi="Arial"/>
          <w:color w:val="0F172A"/>
          <w:sz w:val="21"/>
        </w:rPr>
        <w:t>Soup kitchens, community centers, and shelters seeking proximate ingredients.</w:t>
      </w:r>
    </w:p>
    <w:p>
      <w:pPr>
        <w:pStyle w:val="ListBullet"/>
        <w:spacing w:after="80" w:line="276" w:lineRule="auto"/>
      </w:pPr>
      <w:r>
        <w:rPr>
          <w:rFonts w:ascii="Arial" w:hAnsi="Arial"/>
          <w:b/>
          <w:color w:val="0F172A"/>
          <w:sz w:val="21"/>
        </w:rPr>
        <w:t>Administrators (Auditors):</w:t>
      </w:r>
      <w:r>
        <w:rPr>
          <w:rFonts w:ascii="Arial" w:hAnsi="Arial"/>
          <w:color w:val="0F172A"/>
          <w:sz w:val="21"/>
        </w:rPr>
        <w:t>Auditors checking item safety, resolving quality disputes, and reactivating accounts.</w:t>
      </w:r>
    </w:p>
    <w:p>
      <w:pPr>
        <w:pStyle w:val="ListBullet"/>
        <w:spacing w:after="80" w:line="276" w:lineRule="auto"/>
      </w:pPr>
      <w:r>
        <w:rPr>
          <w:rFonts w:ascii="Arial" w:hAnsi="Arial"/>
          <w:b/>
          <w:color w:val="0F172A"/>
          <w:sz w:val="21"/>
        </w:rPr>
        <w:t>IT Support &amp; Developers:</w:t>
      </w:r>
      <w:r>
        <w:rPr>
          <w:rFonts w:ascii="Arial" w:hAnsi="Arial"/>
          <w:color w:val="0F172A"/>
          <w:sz w:val="21"/>
        </w:rPr>
        <w:t>Maintains, secures, and deploys the infrastructure.</w:t>
      </w:r>
    </w:p>
    <w:p>
      <w:pPr>
        <w:keepNext/>
        <w:spacing w:before="240" w:after="80"/>
      </w:pPr>
      <w:r>
        <w:rPr>
          <w:rFonts w:ascii="Arial" w:hAnsi="Arial"/>
          <w:b/>
          <w:color w:val="4F46E5"/>
          <w:sz w:val="28"/>
        </w:rPr>
        <w:t>2.2 Requirement Gathering Approach</w:t>
      </w:r>
    </w:p>
    <w:p>
      <w:pPr>
        <w:spacing w:after="160" w:line="276" w:lineRule="auto"/>
      </w:pPr>
      <w:r>
        <w:rPr>
          <w:rFonts w:ascii="Arial" w:hAnsi="Arial"/>
          <w:i w:val="0"/>
          <w:color w:val="0F172A"/>
          <w:sz w:val="21"/>
        </w:rPr>
        <w:t>Requirements were gathered through an iterative pair-programming sequence mimicking real-world feedback loops. Critical parameters were identified by looking at common failure states in local food programs—such as coordinate drift, spoilage, and non-pickup of claimed food. Initial mockups were benchmarked against professional SaaS dashboards to incorporate top console headers, search bars, role-specific badge colors, and sliding dark mode toggles.</w:t>
      </w:r>
    </w:p>
    <w:p>
      <w:pPr>
        <w:keepNext/>
        <w:spacing w:before="240" w:after="80"/>
      </w:pPr>
      <w:r>
        <w:rPr>
          <w:rFonts w:ascii="Arial" w:hAnsi="Arial"/>
          <w:b/>
          <w:color w:val="4F46E5"/>
          <w:sz w:val="28"/>
        </w:rPr>
        <w:t>2.3 Assumptions Made</w:t>
      </w:r>
    </w:p>
    <w:p>
      <w:pPr>
        <w:pStyle w:val="ListBullet"/>
        <w:spacing w:after="80" w:line="276" w:lineRule="auto"/>
      </w:pPr>
      <w:r>
        <w:rPr>
          <w:rFonts w:ascii="Arial" w:hAnsi="Arial"/>
          <w:color w:val="0F172A"/>
          <w:sz w:val="21"/>
        </w:rPr>
        <w:t>Users have access to modern web browsers with active internet connections and GPS coordinates capabilities.</w:t>
      </w:r>
    </w:p>
    <w:p>
      <w:pPr>
        <w:pStyle w:val="ListBullet"/>
        <w:spacing w:after="80" w:line="276" w:lineRule="auto"/>
      </w:pPr>
      <w:r>
        <w:rPr>
          <w:rFonts w:ascii="Arial" w:hAnsi="Arial"/>
          <w:color w:val="0F172A"/>
          <w:sz w:val="21"/>
        </w:rPr>
        <w:t>Administrators possess basic training to evaluate kitchen dispute reports and inspect reference links fairly.</w:t>
      </w:r>
    </w:p>
    <w:p>
      <w:pPr>
        <w:pStyle w:val="ListBullet"/>
        <w:spacing w:after="80" w:line="276" w:lineRule="auto"/>
      </w:pPr>
      <w:r>
        <w:rPr>
          <w:rFonts w:ascii="Arial" w:hAnsi="Arial"/>
          <w:color w:val="0F172A"/>
          <w:sz w:val="21"/>
        </w:rPr>
        <w:t>Donors upload food specifications in good faith, respecting temperature storage rules.</w:t>
      </w:r>
    </w:p>
    <w:p>
      <w:pPr>
        <w:keepNext/>
        <w:spacing w:before="240" w:after="80"/>
      </w:pPr>
      <w:r>
        <w:rPr>
          <w:rFonts w:ascii="Arial" w:hAnsi="Arial"/>
          <w:b/>
          <w:color w:val="4F46E5"/>
          <w:sz w:val="28"/>
        </w:rPr>
        <w:t>2.4 User &amp; Business Needs Considered</w:t>
      </w:r>
    </w:p>
    <w:p>
      <w:pPr>
        <w:pStyle w:val="ListBullet"/>
        <w:spacing w:after="80" w:line="276" w:lineRule="auto"/>
      </w:pPr>
      <w:r>
        <w:rPr>
          <w:rFonts w:ascii="Arial" w:hAnsi="Arial"/>
          <w:b/>
          <w:color w:val="0F172A"/>
          <w:sz w:val="21"/>
        </w:rPr>
        <w:t>Health Safety:</w:t>
      </w:r>
      <w:r>
        <w:rPr>
          <w:rFonts w:ascii="Arial" w:hAnsi="Arial"/>
          <w:color w:val="0F172A"/>
          <w:sz w:val="21"/>
        </w:rPr>
        <w:t>Safety is paramount. Expired items or deactivated facilities must not appear in active listings.</w:t>
      </w:r>
    </w:p>
    <w:p>
      <w:pPr>
        <w:pStyle w:val="ListBullet"/>
        <w:spacing w:after="80" w:line="276" w:lineRule="auto"/>
      </w:pPr>
      <w:r>
        <w:rPr>
          <w:rFonts w:ascii="Arial" w:hAnsi="Arial"/>
          <w:b/>
          <w:color w:val="0F172A"/>
          <w:sz w:val="21"/>
        </w:rPr>
        <w:t>Efficiency:</w:t>
      </w:r>
      <w:r>
        <w:rPr>
          <w:rFonts w:ascii="Arial" w:hAnsi="Arial"/>
          <w:color w:val="0F172A"/>
          <w:sz w:val="21"/>
        </w:rPr>
        <w:t>Kitchen staff operate on tight deadlines; proximity-sorted lists minimize transit delays.</w:t>
      </w:r>
    </w:p>
    <w:p>
      <w:pPr>
        <w:pStyle w:val="ListBullet"/>
        <w:spacing w:after="80" w:line="276" w:lineRule="auto"/>
      </w:pPr>
      <w:r>
        <w:rPr>
          <w:rFonts w:ascii="Arial" w:hAnsi="Arial"/>
          <w:b/>
          <w:color w:val="0F172A"/>
          <w:sz w:val="21"/>
        </w:rPr>
        <w:t>Accountability:</w:t>
      </w:r>
      <w:r>
        <w:rPr>
          <w:rFonts w:ascii="Arial" w:hAnsi="Arial"/>
          <w:color w:val="0F172A"/>
          <w:sz w:val="21"/>
        </w:rPr>
        <w:t>A clear visual history of item custody ensures transparency and builds trust.</w:t>
      </w:r>
    </w:p>
    <w:p>
      <w:r>
        <w:br w:type="page"/>
      </w:r>
    </w:p>
    <w:p>
      <w:pPr>
        <w:keepNext/>
        <w:spacing w:before="360" w:after="120"/>
      </w:pPr>
      <w:r>
        <w:rPr>
          <w:rFonts w:ascii="Arial" w:hAnsi="Arial"/>
          <w:b/>
          <w:color w:val="1B365D"/>
          <w:sz w:val="36"/>
        </w:rPr>
        <w:t>3. Functional Requirements &amp; Role-Based Access Control</w:t>
      </w:r>
    </w:p>
    <w:p>
      <w:pPr>
        <w:keepNext/>
        <w:spacing w:before="240" w:after="80"/>
      </w:pPr>
      <w:r>
        <w:rPr>
          <w:rFonts w:ascii="Arial" w:hAnsi="Arial"/>
          <w:b/>
          <w:color w:val="4F46E5"/>
          <w:sz w:val="28"/>
        </w:rPr>
        <w:t>3.1 User Roles and Permissions Matrix</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65D"/>
            <w:tcMar>
              <w:top w:w="100" w:type="dxa"/>
              <w:bottom w:w="100" w:type="dxa"/>
              <w:left w:w="150" w:type="dxa"/>
              <w:right w:w="150" w:type="dxa"/>
            </w:tcMar>
          </w:tcPr>
          <w:p>
            <w:r>
              <w:rPr>
                <w:rFonts w:ascii="Arial" w:hAnsi="Arial"/>
                <w:b/>
                <w:color w:val="FFFFFF"/>
                <w:sz w:val="19"/>
              </w:rPr>
              <w:t>Permission / Feature</w:t>
            </w:r>
          </w:p>
        </w:tc>
        <w:tc>
          <w:tcPr>
            <w:tcW w:type="dxa" w:w="2340"/>
            <w:shd w:val="clear" w:color="auto" w:fill="1B365D"/>
            <w:tcMar>
              <w:top w:w="100" w:type="dxa"/>
              <w:bottom w:w="100" w:type="dxa"/>
              <w:left w:w="150" w:type="dxa"/>
              <w:right w:w="150" w:type="dxa"/>
            </w:tcMar>
          </w:tcPr>
          <w:p>
            <w:r>
              <w:rPr>
                <w:rFonts w:ascii="Arial" w:hAnsi="Arial"/>
                <w:b/>
                <w:color w:val="FFFFFF"/>
                <w:sz w:val="19"/>
              </w:rPr>
              <w:t>Donor</w:t>
            </w:r>
          </w:p>
        </w:tc>
        <w:tc>
          <w:tcPr>
            <w:tcW w:type="dxa" w:w="2340"/>
            <w:shd w:val="clear" w:color="auto" w:fill="1B365D"/>
            <w:tcMar>
              <w:top w:w="100" w:type="dxa"/>
              <w:bottom w:w="100" w:type="dxa"/>
              <w:left w:w="150" w:type="dxa"/>
              <w:right w:w="150" w:type="dxa"/>
            </w:tcMar>
          </w:tcPr>
          <w:p>
            <w:r>
              <w:rPr>
                <w:rFonts w:ascii="Arial" w:hAnsi="Arial"/>
                <w:b/>
                <w:color w:val="FFFFFF"/>
                <w:sz w:val="19"/>
              </w:rPr>
              <w:t>Kitchen</w:t>
            </w:r>
          </w:p>
        </w:tc>
        <w:tc>
          <w:tcPr>
            <w:tcW w:type="dxa" w:w="2340"/>
            <w:shd w:val="clear" w:color="auto" w:fill="1B365D"/>
            <w:tcMar>
              <w:top w:w="100" w:type="dxa"/>
              <w:bottom w:w="100" w:type="dxa"/>
              <w:left w:w="150" w:type="dxa"/>
              <w:right w:w="150" w:type="dxa"/>
            </w:tcMar>
          </w:tcPr>
          <w:p>
            <w:r>
              <w:rPr>
                <w:rFonts w:ascii="Arial" w:hAnsi="Arial"/>
                <w:b/>
                <w:color w:val="FFFFFF"/>
                <w:sz w:val="19"/>
              </w:rPr>
              <w:t>Admin</w:t>
            </w:r>
          </w:p>
        </w:tc>
      </w:tr>
      <w:tr>
        <w:tc>
          <w:tcPr>
            <w:tcW w:type="dxa" w:w="2340"/>
            <w:tcMar>
              <w:top w:w="100" w:type="dxa"/>
              <w:bottom w:w="100" w:type="dxa"/>
              <w:left w:w="150" w:type="dxa"/>
              <w:right w:w="150" w:type="dxa"/>
            </w:tcMar>
          </w:tcPr>
          <w:p>
            <w:r>
              <w:rPr>
                <w:rFonts w:ascii="Arial" w:hAnsi="Arial"/>
                <w:color w:val="0F172A"/>
                <w:sz w:val="19"/>
              </w:rPr>
              <w:t>Create/Edit/Delete Surplus Listings</w:t>
            </w:r>
          </w:p>
        </w:tc>
        <w:tc>
          <w:tcPr>
            <w:tcW w:type="dxa" w:w="2340"/>
            <w:tcMar>
              <w:top w:w="100" w:type="dxa"/>
              <w:bottom w:w="100" w:type="dxa"/>
              <w:left w:w="150" w:type="dxa"/>
              <w:right w:w="150" w:type="dxa"/>
            </w:tcMar>
          </w:tcPr>
          <w:p>
            <w:r>
              <w:rPr>
                <w:rFonts w:ascii="Arial" w:hAnsi="Arial"/>
                <w:b/>
                <w:color w:val="059669"/>
                <w:sz w:val="19"/>
              </w:rPr>
              <w:t>Allowed (if active)</w:t>
            </w:r>
          </w:p>
        </w:tc>
        <w:tc>
          <w:tcPr>
            <w:tcW w:type="dxa" w:w="2340"/>
            <w:tcMar>
              <w:top w:w="100" w:type="dxa"/>
              <w:bottom w:w="100" w:type="dxa"/>
              <w:left w:w="150" w:type="dxa"/>
              <w:right w:w="150" w:type="dxa"/>
            </w:tcMar>
          </w:tcPr>
          <w:p>
            <w:r>
              <w:rPr>
                <w:rFonts w:ascii="Arial" w:hAnsi="Arial"/>
                <w:color w:val="E11D48"/>
                <w:sz w:val="19"/>
              </w:rPr>
              <w:t>Denied</w:t>
            </w:r>
          </w:p>
        </w:tc>
        <w:tc>
          <w:tcPr>
            <w:tcW w:type="dxa" w:w="2340"/>
            <w:tcMar>
              <w:top w:w="100" w:type="dxa"/>
              <w:bottom w:w="100" w:type="dxa"/>
              <w:left w:w="150" w:type="dxa"/>
              <w:right w:w="150" w:type="dxa"/>
            </w:tcMar>
          </w:tcPr>
          <w:p>
            <w:r>
              <w:rPr>
                <w:rFonts w:ascii="Arial" w:hAnsi="Arial"/>
                <w:color w:val="E11D48"/>
                <w:sz w:val="19"/>
              </w:rPr>
              <w:t>Denied</w:t>
            </w:r>
          </w:p>
        </w:tc>
      </w:tr>
      <w:tr>
        <w:tc>
          <w:tcPr>
            <w:tcW w:type="dxa" w:w="2340"/>
            <w:tcMar>
              <w:top w:w="100" w:type="dxa"/>
              <w:bottom w:w="100" w:type="dxa"/>
              <w:left w:w="150" w:type="dxa"/>
              <w:right w:w="150" w:type="dxa"/>
            </w:tcMar>
          </w:tcPr>
          <w:p>
            <w:r>
              <w:rPr>
                <w:rFonts w:ascii="Arial" w:hAnsi="Arial"/>
                <w:color w:val="0F172A"/>
                <w:sz w:val="19"/>
              </w:rPr>
              <w:t>Claim/Reserve Surplus Inventory</w:t>
            </w:r>
          </w:p>
        </w:tc>
        <w:tc>
          <w:tcPr>
            <w:tcW w:type="dxa" w:w="2340"/>
            <w:tcMar>
              <w:top w:w="100" w:type="dxa"/>
              <w:bottom w:w="100" w:type="dxa"/>
              <w:left w:w="150" w:type="dxa"/>
              <w:right w:w="150" w:type="dxa"/>
            </w:tcMar>
          </w:tcPr>
          <w:p>
            <w:r>
              <w:rPr>
                <w:rFonts w:ascii="Arial" w:hAnsi="Arial"/>
                <w:color w:val="E11D48"/>
                <w:sz w:val="19"/>
              </w:rPr>
              <w:t>Denied</w:t>
            </w:r>
          </w:p>
        </w:tc>
        <w:tc>
          <w:tcPr>
            <w:tcW w:type="dxa" w:w="2340"/>
            <w:tcMar>
              <w:top w:w="100" w:type="dxa"/>
              <w:bottom w:w="100" w:type="dxa"/>
              <w:left w:w="150" w:type="dxa"/>
              <w:right w:w="150" w:type="dxa"/>
            </w:tcMar>
          </w:tcPr>
          <w:p>
            <w:r>
              <w:rPr>
                <w:rFonts w:ascii="Arial" w:hAnsi="Arial"/>
                <w:b/>
                <w:color w:val="059669"/>
                <w:sz w:val="19"/>
              </w:rPr>
              <w:t>Allowed (if active)</w:t>
            </w:r>
          </w:p>
        </w:tc>
        <w:tc>
          <w:tcPr>
            <w:tcW w:type="dxa" w:w="2340"/>
            <w:tcMar>
              <w:top w:w="100" w:type="dxa"/>
              <w:bottom w:w="100" w:type="dxa"/>
              <w:left w:w="150" w:type="dxa"/>
              <w:right w:w="150" w:type="dxa"/>
            </w:tcMar>
          </w:tcPr>
          <w:p>
            <w:r>
              <w:rPr>
                <w:rFonts w:ascii="Arial" w:hAnsi="Arial"/>
                <w:color w:val="E11D48"/>
                <w:sz w:val="19"/>
              </w:rPr>
              <w:t>Denied</w:t>
            </w:r>
          </w:p>
        </w:tc>
      </w:tr>
      <w:tr>
        <w:tc>
          <w:tcPr>
            <w:tcW w:type="dxa" w:w="2340"/>
            <w:tcMar>
              <w:top w:w="100" w:type="dxa"/>
              <w:bottom w:w="100" w:type="dxa"/>
              <w:left w:w="150" w:type="dxa"/>
              <w:right w:w="150" w:type="dxa"/>
            </w:tcMar>
          </w:tcPr>
          <w:p>
            <w:r>
              <w:rPr>
                <w:rFonts w:ascii="Arial" w:hAnsi="Arial"/>
                <w:color w:val="0F172A"/>
                <w:sz w:val="19"/>
              </w:rPr>
              <w:t>Complete Handoff with Code Verification</w:t>
            </w:r>
          </w:p>
        </w:tc>
        <w:tc>
          <w:tcPr>
            <w:tcW w:type="dxa" w:w="2340"/>
            <w:tcMar>
              <w:top w:w="100" w:type="dxa"/>
              <w:bottom w:w="100" w:type="dxa"/>
              <w:left w:w="150" w:type="dxa"/>
              <w:right w:w="150" w:type="dxa"/>
            </w:tcMar>
          </w:tcPr>
          <w:p>
            <w:r>
              <w:rPr>
                <w:rFonts w:ascii="Arial" w:hAnsi="Arial"/>
                <w:b/>
                <w:color w:val="059669"/>
                <w:sz w:val="19"/>
              </w:rPr>
              <w:t>Allowed</w:t>
            </w:r>
          </w:p>
        </w:tc>
        <w:tc>
          <w:tcPr>
            <w:tcW w:type="dxa" w:w="2340"/>
            <w:tcMar>
              <w:top w:w="100" w:type="dxa"/>
              <w:bottom w:w="100" w:type="dxa"/>
              <w:left w:w="150" w:type="dxa"/>
              <w:right w:w="150" w:type="dxa"/>
            </w:tcMar>
          </w:tcPr>
          <w:p>
            <w:r>
              <w:rPr>
                <w:rFonts w:ascii="Arial" w:hAnsi="Arial"/>
                <w:b/>
                <w:color w:val="059669"/>
                <w:sz w:val="19"/>
              </w:rPr>
              <w:t>Allowed</w:t>
            </w:r>
          </w:p>
        </w:tc>
        <w:tc>
          <w:tcPr>
            <w:tcW w:type="dxa" w:w="2340"/>
            <w:tcMar>
              <w:top w:w="100" w:type="dxa"/>
              <w:bottom w:w="100" w:type="dxa"/>
              <w:left w:w="150" w:type="dxa"/>
              <w:right w:w="150" w:type="dxa"/>
            </w:tcMar>
          </w:tcPr>
          <w:p>
            <w:r>
              <w:rPr>
                <w:rFonts w:ascii="Arial" w:hAnsi="Arial"/>
                <w:color w:val="E11D48"/>
                <w:sz w:val="19"/>
              </w:rPr>
              <w:t>Denied</w:t>
            </w:r>
          </w:p>
        </w:tc>
      </w:tr>
      <w:tr>
        <w:tc>
          <w:tcPr>
            <w:tcW w:type="dxa" w:w="2340"/>
            <w:tcMar>
              <w:top w:w="100" w:type="dxa"/>
              <w:bottom w:w="100" w:type="dxa"/>
              <w:left w:w="150" w:type="dxa"/>
              <w:right w:w="150" w:type="dxa"/>
            </w:tcMar>
          </w:tcPr>
          <w:p>
            <w:r>
              <w:rPr>
                <w:rFonts w:ascii="Arial" w:hAnsi="Arial"/>
                <w:color w:val="0F172A"/>
                <w:sz w:val="19"/>
              </w:rPr>
              <w:t>Audit Queue, Approve/Reject Listings</w:t>
            </w:r>
          </w:p>
        </w:tc>
        <w:tc>
          <w:tcPr>
            <w:tcW w:type="dxa" w:w="2340"/>
            <w:tcMar>
              <w:top w:w="100" w:type="dxa"/>
              <w:bottom w:w="100" w:type="dxa"/>
              <w:left w:w="150" w:type="dxa"/>
              <w:right w:w="150" w:type="dxa"/>
            </w:tcMar>
          </w:tcPr>
          <w:p>
            <w:r>
              <w:rPr>
                <w:rFonts w:ascii="Arial" w:hAnsi="Arial"/>
                <w:color w:val="E11D48"/>
                <w:sz w:val="19"/>
              </w:rPr>
              <w:t>Denied</w:t>
            </w:r>
          </w:p>
        </w:tc>
        <w:tc>
          <w:tcPr>
            <w:tcW w:type="dxa" w:w="2340"/>
            <w:tcMar>
              <w:top w:w="100" w:type="dxa"/>
              <w:bottom w:w="100" w:type="dxa"/>
              <w:left w:w="150" w:type="dxa"/>
              <w:right w:w="150" w:type="dxa"/>
            </w:tcMar>
          </w:tcPr>
          <w:p>
            <w:r>
              <w:rPr>
                <w:rFonts w:ascii="Arial" w:hAnsi="Arial"/>
                <w:color w:val="E11D48"/>
                <w:sz w:val="19"/>
              </w:rPr>
              <w:t>Denied</w:t>
            </w:r>
          </w:p>
        </w:tc>
        <w:tc>
          <w:tcPr>
            <w:tcW w:type="dxa" w:w="2340"/>
            <w:tcMar>
              <w:top w:w="100" w:type="dxa"/>
              <w:bottom w:w="100" w:type="dxa"/>
              <w:left w:w="150" w:type="dxa"/>
              <w:right w:w="150" w:type="dxa"/>
            </w:tcMar>
          </w:tcPr>
          <w:p>
            <w:r>
              <w:rPr>
                <w:rFonts w:ascii="Arial" w:hAnsi="Arial"/>
                <w:b/>
                <w:color w:val="059669"/>
                <w:sz w:val="19"/>
              </w:rPr>
              <w:t>Allowed</w:t>
            </w:r>
          </w:p>
        </w:tc>
      </w:tr>
      <w:tr>
        <w:tc>
          <w:tcPr>
            <w:tcW w:type="dxa" w:w="2340"/>
            <w:tcMar>
              <w:top w:w="100" w:type="dxa"/>
              <w:bottom w:w="100" w:type="dxa"/>
              <w:left w:w="150" w:type="dxa"/>
              <w:right w:w="150" w:type="dxa"/>
            </w:tcMar>
          </w:tcPr>
          <w:p>
            <w:r>
              <w:rPr>
                <w:rFonts w:ascii="Arial" w:hAnsi="Arial"/>
                <w:color w:val="0F172A"/>
                <w:sz w:val="19"/>
              </w:rPr>
              <w:t>Dispute Quality &amp; Manage Accounts</w:t>
            </w:r>
          </w:p>
        </w:tc>
        <w:tc>
          <w:tcPr>
            <w:tcW w:type="dxa" w:w="2340"/>
            <w:tcMar>
              <w:top w:w="100" w:type="dxa"/>
              <w:bottom w:w="100" w:type="dxa"/>
              <w:left w:w="150" w:type="dxa"/>
              <w:right w:w="150" w:type="dxa"/>
            </w:tcMar>
          </w:tcPr>
          <w:p>
            <w:r>
              <w:rPr>
                <w:rFonts w:ascii="Arial" w:hAnsi="Arial"/>
                <w:color w:val="E11D48"/>
                <w:sz w:val="19"/>
              </w:rPr>
              <w:t>Denied</w:t>
            </w:r>
          </w:p>
        </w:tc>
        <w:tc>
          <w:tcPr>
            <w:tcW w:type="dxa" w:w="2340"/>
            <w:tcMar>
              <w:top w:w="100" w:type="dxa"/>
              <w:bottom w:w="100" w:type="dxa"/>
              <w:left w:w="150" w:type="dxa"/>
              <w:right w:w="150" w:type="dxa"/>
            </w:tcMar>
          </w:tcPr>
          <w:p>
            <w:r>
              <w:rPr>
                <w:rFonts w:ascii="Arial" w:hAnsi="Arial"/>
                <w:color w:val="0F172A"/>
                <w:sz w:val="19"/>
              </w:rPr>
              <w:t>File Quality Issue</w:t>
            </w:r>
          </w:p>
        </w:tc>
        <w:tc>
          <w:tcPr>
            <w:tcW w:type="dxa" w:w="2340"/>
            <w:tcMar>
              <w:top w:w="100" w:type="dxa"/>
              <w:bottom w:w="100" w:type="dxa"/>
              <w:left w:w="150" w:type="dxa"/>
              <w:right w:w="150" w:type="dxa"/>
            </w:tcMar>
          </w:tcPr>
          <w:p>
            <w:r>
              <w:rPr>
                <w:rFonts w:ascii="Arial" w:hAnsi="Arial"/>
                <w:b/>
                <w:color w:val="059669"/>
                <w:sz w:val="19"/>
              </w:rPr>
              <w:t>Uphold/Reactivate</w:t>
            </w:r>
          </w:p>
        </w:tc>
      </w:tr>
    </w:tbl>
    <w:p>
      <w:pPr>
        <w:spacing w:before="200"/>
      </w:pPr>
    </w:p>
    <w:p>
      <w:pPr>
        <w:keepNext/>
        <w:spacing w:before="240" w:after="80"/>
      </w:pPr>
      <w:r>
        <w:rPr>
          <w:rFonts w:ascii="Arial" w:hAnsi="Arial"/>
          <w:b/>
          <w:color w:val="4F46E5"/>
          <w:sz w:val="28"/>
        </w:rPr>
        <w:t>3.2 Detailed Module Workflows</w:t>
      </w:r>
    </w:p>
    <w:p>
      <w:pPr>
        <w:keepNext/>
        <w:spacing w:before="160" w:after="40"/>
      </w:pPr>
      <w:r>
        <w:rPr>
          <w:rFonts w:ascii="Arial" w:hAnsi="Arial"/>
          <w:b/>
          <w:color w:val="475569"/>
          <w:sz w:val="23"/>
        </w:rPr>
        <w:t>A. Donor surplus upload &amp; lifecycle workflow:</w:t>
      </w:r>
    </w:p>
    <w:p>
      <w:pPr>
        <w:pStyle w:val="ListBullet"/>
        <w:spacing w:after="80" w:line="276" w:lineRule="auto"/>
      </w:pPr>
      <w:r>
        <w:rPr>
          <w:rFonts w:ascii="Arial" w:hAnsi="Arial"/>
          <w:color w:val="0F172A"/>
          <w:sz w:val="21"/>
        </w:rPr>
        <w:t>Donor logs in and hits 'Upload Surplus Food' (only enabled if account state is active).</w:t>
      </w:r>
    </w:p>
    <w:p>
      <w:pPr>
        <w:pStyle w:val="ListBullet"/>
        <w:spacing w:after="80" w:line="276" w:lineRule="auto"/>
      </w:pPr>
      <w:r>
        <w:rPr>
          <w:rFonts w:ascii="Arial" w:hAnsi="Arial"/>
          <w:color w:val="0F172A"/>
          <w:sz w:val="21"/>
        </w:rPr>
        <w:t>Declares listing details (name, quantity, unit, storage temperature, expiryDate, pickupDeadline).</w:t>
      </w:r>
    </w:p>
    <w:p>
      <w:pPr>
        <w:pStyle w:val="ListBullet"/>
        <w:spacing w:after="80" w:line="276" w:lineRule="auto"/>
      </w:pPr>
      <w:r>
        <w:rPr>
          <w:rFonts w:ascii="Arial" w:hAnsi="Arial"/>
          <w:color w:val="0F172A"/>
          <w:sz w:val="21"/>
        </w:rPr>
        <w:t>System validates coordinates and deadline offsets, then saves listing as PENDING.</w:t>
      </w:r>
    </w:p>
    <w:p>
      <w:pPr>
        <w:pStyle w:val="ListBullet"/>
        <w:spacing w:after="80" w:line="276" w:lineRule="auto"/>
      </w:pPr>
      <w:r>
        <w:rPr>
          <w:rFonts w:ascii="Arial" w:hAnsi="Arial"/>
          <w:color w:val="0F172A"/>
          <w:sz w:val="21"/>
        </w:rPr>
        <w:t>Once Admin approves, status becomes APPROVED. If rejected, status is REJECTED.</w:t>
      </w:r>
    </w:p>
    <w:p>
      <w:pPr>
        <w:pStyle w:val="ListBullet"/>
        <w:spacing w:after="80" w:line="276" w:lineRule="auto"/>
      </w:pPr>
      <w:r>
        <w:rPr>
          <w:rFonts w:ascii="Arial" w:hAnsi="Arial"/>
          <w:color w:val="0F172A"/>
          <w:sz w:val="21"/>
        </w:rPr>
        <w:t>Donor can modify or delete listings until they are claimed.</w:t>
      </w:r>
    </w:p>
    <w:p>
      <w:pPr>
        <w:keepNext/>
        <w:spacing w:before="160" w:after="40"/>
      </w:pPr>
      <w:r>
        <w:rPr>
          <w:rFonts w:ascii="Arial" w:hAnsi="Arial"/>
          <w:b/>
          <w:color w:val="475569"/>
          <w:sz w:val="23"/>
        </w:rPr>
        <w:t>B. Kitchen claim &amp; verification workflow:</w:t>
      </w:r>
    </w:p>
    <w:p>
      <w:pPr>
        <w:pStyle w:val="ListBullet"/>
        <w:spacing w:after="80" w:line="276" w:lineRule="auto"/>
      </w:pPr>
      <w:r>
        <w:rPr>
          <w:rFonts w:ascii="Arial" w:hAnsi="Arial"/>
          <w:color w:val="0F172A"/>
          <w:sz w:val="21"/>
        </w:rPr>
        <w:t>Kitchen views proximity-sorted surplus feed and clicks 'Claim'.</w:t>
      </w:r>
    </w:p>
    <w:p>
      <w:pPr>
        <w:pStyle w:val="ListBullet"/>
        <w:spacing w:after="80" w:line="276" w:lineRule="auto"/>
      </w:pPr>
      <w:r>
        <w:rPr>
          <w:rFonts w:ascii="Arial" w:hAnsi="Arial"/>
          <w:color w:val="0F172A"/>
          <w:sz w:val="21"/>
        </w:rPr>
        <w:t>Declares quantity and transport choice, generating a RESERVED state.</w:t>
      </w:r>
    </w:p>
    <w:p>
      <w:pPr>
        <w:pStyle w:val="ListBullet"/>
        <w:spacing w:after="80" w:line="276" w:lineRule="auto"/>
      </w:pPr>
      <w:r>
        <w:rPr>
          <w:rFonts w:ascii="Arial" w:hAnsi="Arial"/>
          <w:color w:val="0F172A"/>
          <w:sz w:val="21"/>
        </w:rPr>
        <w:t>System returns a unique 6-digit verification code to the kitchen.</w:t>
      </w:r>
    </w:p>
    <w:p>
      <w:pPr>
        <w:pStyle w:val="ListBullet"/>
        <w:spacing w:after="80" w:line="276" w:lineRule="auto"/>
      </w:pPr>
      <w:r>
        <w:rPr>
          <w:rFonts w:ascii="Arial" w:hAnsi="Arial"/>
          <w:color w:val="0F172A"/>
          <w:sz w:val="21"/>
        </w:rPr>
        <w:t>At handoff, kitchen provides code; donor enters code in portal to change state to FULFILLED, adding reputation.</w:t>
      </w:r>
    </w:p>
    <w:p>
      <w:pPr>
        <w:keepNext/>
        <w:spacing w:before="160" w:after="40"/>
      </w:pPr>
      <w:r>
        <w:rPr>
          <w:rFonts w:ascii="Arial" w:hAnsi="Arial"/>
          <w:b/>
          <w:color w:val="475569"/>
          <w:sz w:val="23"/>
        </w:rPr>
        <w:t>C. Quality audit and account suspension flow:</w:t>
      </w:r>
    </w:p>
    <w:p>
      <w:pPr>
        <w:pStyle w:val="ListBullet"/>
        <w:spacing w:after="80" w:line="276" w:lineRule="auto"/>
      </w:pPr>
      <w:r>
        <w:rPr>
          <w:rFonts w:ascii="Arial" w:hAnsi="Arial"/>
          <w:color w:val="0F172A"/>
          <w:sz w:val="21"/>
        </w:rPr>
        <w:t>If kitchen notices quality issues, they file a report with proof description links.</w:t>
      </w:r>
    </w:p>
    <w:p>
      <w:pPr>
        <w:pStyle w:val="ListBullet"/>
        <w:spacing w:after="80" w:line="276" w:lineRule="auto"/>
      </w:pPr>
      <w:r>
        <w:rPr>
          <w:rFonts w:ascii="Arial" w:hAnsi="Arial"/>
          <w:color w:val="0F172A"/>
          <w:sz w:val="21"/>
        </w:rPr>
        <w:t>Admin audits the report: either dismissing it or upholding it.</w:t>
      </w:r>
    </w:p>
    <w:p>
      <w:pPr>
        <w:pStyle w:val="ListBullet"/>
        <w:spacing w:after="80" w:line="276" w:lineRule="auto"/>
      </w:pPr>
      <w:r>
        <w:rPr>
          <w:rFonts w:ascii="Arial" w:hAnsi="Arial"/>
          <w:color w:val="0F172A"/>
          <w:sz w:val="21"/>
        </w:rPr>
        <w:t>Upholding deducts 15 points from donor reputation. If reputation falls below 40, account is suspended.</w:t>
      </w:r>
    </w:p>
    <w:p>
      <w:pPr>
        <w:pStyle w:val="ListBullet"/>
        <w:spacing w:after="80" w:line="276" w:lineRule="auto"/>
      </w:pPr>
      <w:r>
        <w:rPr>
          <w:rFonts w:ascii="Arial" w:hAnsi="Arial"/>
          <w:color w:val="0F172A"/>
          <w:sz w:val="21"/>
        </w:rPr>
        <w:t>Admin retains manual oversight to reactivate suspended donors, resetting reputation to 60.</w:t>
      </w:r>
    </w:p>
    <w:p>
      <w:r>
        <w:br w:type="page"/>
      </w:r>
    </w:p>
    <w:p>
      <w:pPr>
        <w:keepNext/>
        <w:spacing w:before="360" w:after="120"/>
      </w:pPr>
      <w:r>
        <w:rPr>
          <w:rFonts w:ascii="Arial" w:hAnsi="Arial"/>
          <w:b/>
          <w:color w:val="1B365D"/>
          <w:sz w:val="36"/>
        </w:rPr>
        <w:t>4. Non-Functional Requirements</w:t>
      </w:r>
    </w:p>
    <w:p>
      <w:pPr>
        <w:keepNext/>
        <w:spacing w:before="240" w:after="80"/>
      </w:pPr>
      <w:r>
        <w:rPr>
          <w:rFonts w:ascii="Arial" w:hAnsi="Arial"/>
          <w:b/>
          <w:color w:val="4F46E5"/>
          <w:sz w:val="28"/>
        </w:rPr>
        <w:t>4.1 System Performance</w:t>
      </w:r>
    </w:p>
    <w:p>
      <w:pPr>
        <w:pStyle w:val="ListBullet"/>
        <w:spacing w:after="80" w:line="276" w:lineRule="auto"/>
      </w:pPr>
      <w:r>
        <w:rPr>
          <w:rFonts w:ascii="Arial" w:hAnsi="Arial"/>
          <w:b/>
          <w:color w:val="0F172A"/>
          <w:sz w:val="21"/>
        </w:rPr>
        <w:t>Write Performance:</w:t>
      </w:r>
      <w:r>
        <w:rPr>
          <w:rFonts w:ascii="Arial" w:hAnsi="Arial"/>
          <w:color w:val="0F172A"/>
          <w:sz w:val="21"/>
        </w:rPr>
        <w:t>Response times for critical writes (uploading, claiming) must remain below 300ms.</w:t>
      </w:r>
    </w:p>
    <w:p>
      <w:pPr>
        <w:pStyle w:val="ListBullet"/>
        <w:spacing w:after="80" w:line="276" w:lineRule="auto"/>
      </w:pPr>
      <w:r>
        <w:rPr>
          <w:rFonts w:ascii="Arial" w:hAnsi="Arial"/>
          <w:b/>
          <w:color w:val="0F172A"/>
          <w:sz w:val="21"/>
        </w:rPr>
        <w:t>Geospatial Queries:</w:t>
      </w:r>
      <w:r>
        <w:rPr>
          <w:rFonts w:ascii="Arial" w:hAnsi="Arial"/>
          <w:color w:val="0F172A"/>
          <w:sz w:val="21"/>
        </w:rPr>
        <w:t>Geo-proximity queries utilizing 2dsphere indexes must complete under 100ms for a radius scan.</w:t>
      </w:r>
    </w:p>
    <w:p>
      <w:pPr>
        <w:pStyle w:val="ListBullet"/>
        <w:spacing w:after="80" w:line="276" w:lineRule="auto"/>
      </w:pPr>
      <w:r>
        <w:rPr>
          <w:rFonts w:ascii="Arial" w:hAnsi="Arial"/>
          <w:b/>
          <w:color w:val="0F172A"/>
          <w:sz w:val="21"/>
        </w:rPr>
        <w:t>Asset Bundles:</w:t>
      </w:r>
      <w:r>
        <w:rPr>
          <w:rFonts w:ascii="Arial" w:hAnsi="Arial"/>
          <w:color w:val="0F172A"/>
          <w:sz w:val="21"/>
        </w:rPr>
        <w:t>Assets must build using optimized Vite structures, maintaining a bundle footprint &lt;500 KB.</w:t>
      </w:r>
    </w:p>
    <w:p>
      <w:pPr>
        <w:keepNext/>
        <w:spacing w:before="240" w:after="80"/>
      </w:pPr>
      <w:r>
        <w:rPr>
          <w:rFonts w:ascii="Arial" w:hAnsi="Arial"/>
          <w:b/>
          <w:color w:val="4F46E5"/>
          <w:sz w:val="28"/>
        </w:rPr>
        <w:t>4.2 System Security</w:t>
      </w:r>
    </w:p>
    <w:p>
      <w:pPr>
        <w:pStyle w:val="ListBullet"/>
        <w:spacing w:after="80" w:line="276" w:lineRule="auto"/>
      </w:pPr>
      <w:r>
        <w:rPr>
          <w:rFonts w:ascii="Arial" w:hAnsi="Arial"/>
          <w:b/>
          <w:color w:val="0F172A"/>
          <w:sz w:val="21"/>
        </w:rPr>
        <w:t>Authentication:</w:t>
      </w:r>
      <w:r>
        <w:rPr>
          <w:rFonts w:ascii="Arial" w:hAnsi="Arial"/>
          <w:color w:val="0F172A"/>
          <w:sz w:val="21"/>
        </w:rPr>
        <w:t>Passwords hashed via bcrypt (minimum 10 salt rounds) with jsonwebtoken tokens for API security.</w:t>
      </w:r>
    </w:p>
    <w:p>
      <w:pPr>
        <w:pStyle w:val="ListBullet"/>
        <w:spacing w:after="80" w:line="276" w:lineRule="auto"/>
      </w:pPr>
      <w:r>
        <w:rPr>
          <w:rFonts w:ascii="Arial" w:hAnsi="Arial"/>
          <w:b/>
          <w:color w:val="0F172A"/>
          <w:sz w:val="21"/>
        </w:rPr>
        <w:t>Authorization:</w:t>
      </w:r>
      <w:r>
        <w:rPr>
          <w:rFonts w:ascii="Arial" w:hAnsi="Arial"/>
          <w:color w:val="0F172A"/>
          <w:sz w:val="21"/>
        </w:rPr>
        <w:t>All inputs scrubbed for NoSQL injections. Middleware checks authorized roles at route level.</w:t>
      </w:r>
    </w:p>
    <w:p>
      <w:pPr>
        <w:keepNext/>
        <w:spacing w:before="240" w:after="80"/>
      </w:pPr>
      <w:r>
        <w:rPr>
          <w:rFonts w:ascii="Arial" w:hAnsi="Arial"/>
          <w:b/>
          <w:color w:val="4F46E5"/>
          <w:sz w:val="28"/>
        </w:rPr>
        <w:t>4.3 Scalability &amp; Reliability</w:t>
      </w:r>
    </w:p>
    <w:p>
      <w:pPr>
        <w:pStyle w:val="ListBullet"/>
        <w:spacing w:after="80" w:line="276" w:lineRule="auto"/>
      </w:pPr>
      <w:r>
        <w:rPr>
          <w:rFonts w:ascii="Arial" w:hAnsi="Arial"/>
          <w:b/>
          <w:color w:val="0F172A"/>
          <w:sz w:val="21"/>
        </w:rPr>
        <w:t>Scalability:</w:t>
      </w:r>
      <w:r>
        <w:rPr>
          <w:rFonts w:ascii="Arial" w:hAnsi="Arial"/>
          <w:color w:val="0F172A"/>
          <w:sz w:val="21"/>
        </w:rPr>
        <w:t>Mongoose connection schemas utilize indexing configurations to handle thousands of records.</w:t>
      </w:r>
    </w:p>
    <w:p>
      <w:pPr>
        <w:pStyle w:val="ListBullet"/>
        <w:spacing w:after="80" w:line="276" w:lineRule="auto"/>
      </w:pPr>
      <w:r>
        <w:rPr>
          <w:rFonts w:ascii="Arial" w:hAnsi="Arial"/>
          <w:b/>
          <w:color w:val="0F172A"/>
          <w:sz w:val="21"/>
        </w:rPr>
        <w:t>Background sweepers:</w:t>
      </w:r>
      <w:r>
        <w:rPr>
          <w:rFonts w:ascii="Arial" w:hAnsi="Arial"/>
          <w:color w:val="0F172A"/>
          <w:sz w:val="21"/>
        </w:rPr>
        <w:t>Integrated scheduler runs a sweeping process every 30 seconds to clean expired listings cleanly.</w:t>
      </w:r>
    </w:p>
    <w:p>
      <w:pPr>
        <w:pStyle w:val="ListBullet"/>
        <w:spacing w:after="80" w:line="276" w:lineRule="auto"/>
      </w:pPr>
      <w:r>
        <w:rPr>
          <w:rFonts w:ascii="Arial" w:hAnsi="Arial"/>
          <w:b/>
          <w:color w:val="0F172A"/>
          <w:sz w:val="21"/>
        </w:rPr>
        <w:t>Fault Tolerance:</w:t>
      </w:r>
      <w:r>
        <w:rPr>
          <w:rFonts w:ascii="Arial" w:hAnsi="Arial"/>
          <w:color w:val="0F172A"/>
          <w:sz w:val="21"/>
        </w:rPr>
        <w:t>Dynamic error boundary wraps critical React routes, preventing whole-app crashes on page load.</w:t>
      </w:r>
    </w:p>
    <w:p>
      <w:pPr>
        <w:keepNext/>
        <w:spacing w:before="240" w:after="80"/>
      </w:pPr>
      <w:r>
        <w:rPr>
          <w:rFonts w:ascii="Arial" w:hAnsi="Arial"/>
          <w:b/>
          <w:color w:val="4F46E5"/>
          <w:sz w:val="28"/>
        </w:rPr>
        <w:t>4.4 Usability &amp; Accessibility</w:t>
      </w:r>
    </w:p>
    <w:p>
      <w:pPr>
        <w:pStyle w:val="ListBullet"/>
        <w:spacing w:after="80" w:line="276" w:lineRule="auto"/>
      </w:pPr>
      <w:r>
        <w:rPr>
          <w:rFonts w:ascii="Arial" w:hAnsi="Arial"/>
          <w:b/>
          <w:color w:val="0F172A"/>
          <w:sz w:val="21"/>
        </w:rPr>
        <w:t>Contrast Adaptability:</w:t>
      </w:r>
      <w:r>
        <w:rPr>
          <w:rFonts w:ascii="Arial" w:hAnsi="Arial"/>
          <w:color w:val="0F172A"/>
          <w:sz w:val="21"/>
        </w:rPr>
        <w:t>UI supports seamless theme toggles adjusting all elements for Dark/Light mode contrast.</w:t>
      </w:r>
    </w:p>
    <w:p>
      <w:pPr>
        <w:pStyle w:val="ListBullet"/>
        <w:spacing w:after="80" w:line="276" w:lineRule="auto"/>
      </w:pPr>
      <w:r>
        <w:rPr>
          <w:rFonts w:ascii="Arial" w:hAnsi="Arial"/>
          <w:b/>
          <w:color w:val="0F172A"/>
          <w:sz w:val="21"/>
        </w:rPr>
        <w:t>Visual Cues:</w:t>
      </w:r>
      <w:r>
        <w:rPr>
          <w:rFonts w:ascii="Arial" w:hAnsi="Arial"/>
          <w:color w:val="0F172A"/>
          <w:sz w:val="21"/>
        </w:rPr>
        <w:t>Interactive controls feature distinct hover scales, focus outlines, and tooltip descriptions.</w:t>
      </w:r>
    </w:p>
    <w:p>
      <w:pPr>
        <w:pStyle w:val="ListBullet"/>
        <w:spacing w:after="80" w:line="276" w:lineRule="auto"/>
      </w:pPr>
      <w:r>
        <w:rPr>
          <w:rFonts w:ascii="Arial" w:hAnsi="Arial"/>
          <w:b/>
          <w:color w:val="0F172A"/>
          <w:sz w:val="21"/>
        </w:rPr>
        <w:t>Key shortcuts:</w:t>
      </w:r>
      <w:r>
        <w:rPr>
          <w:rFonts w:ascii="Arial" w:hAnsi="Arial"/>
          <w:color w:val="0F172A"/>
          <w:sz w:val="21"/>
        </w:rPr>
        <w:t>Keyboard shortcut support allows quick actions (e.g., Ctrl / to focus search input).</w:t>
      </w:r>
    </w:p>
    <w:p>
      <w:r>
        <w:br w:type="page"/>
      </w:r>
    </w:p>
    <w:p>
      <w:pPr>
        <w:keepNext/>
        <w:spacing w:before="360" w:after="120"/>
      </w:pPr>
      <w:r>
        <w:rPr>
          <w:rFonts w:ascii="Arial" w:hAnsi="Arial"/>
          <w:b/>
          <w:color w:val="1B365D"/>
          <w:sz w:val="36"/>
        </w:rPr>
        <w:t>5. System Architecture &amp; Technology Stack</w:t>
      </w:r>
    </w:p>
    <w:p>
      <w:pPr>
        <w:keepNext/>
        <w:spacing w:before="240" w:after="80"/>
      </w:pPr>
      <w:r>
        <w:rPr>
          <w:rFonts w:ascii="Arial" w:hAnsi="Arial"/>
          <w:b/>
          <w:color w:val="4F46E5"/>
          <w:sz w:val="28"/>
        </w:rPr>
        <w:t>5.1 Architectural Design</w:t>
      </w:r>
    </w:p>
    <w:p>
      <w:pPr>
        <w:spacing w:after="160" w:line="276" w:lineRule="auto"/>
      </w:pPr>
      <w:r>
        <w:rPr>
          <w:rFonts w:ascii="Arial" w:hAnsi="Arial"/>
          <w:i w:val="0"/>
          <w:color w:val="0F172A"/>
          <w:sz w:val="21"/>
        </w:rPr>
        <w:t>The system follows a classical decoupled Client-Server architecture. The React frontend communicates with the Node.js/Express backend via HTTP REST APIs. Database persistence is handled by a MongoDB database with Mongoose schemas managing relational mapping links.</w:t>
      </w:r>
    </w:p>
    <w:p>
      <w:pPr>
        <w:spacing w:after="160" w:line="276" w:lineRule="auto"/>
      </w:pPr>
      <w:r>
        <w:rPr>
          <w:rFonts w:ascii="Arial" w:hAnsi="Arial"/>
          <w:i/>
          <w:color w:val="0F172A"/>
          <w:sz w:val="21"/>
        </w:rPr>
        <w:t>[Client (React/Vite)] &lt;--- HTTP REST API (JWT Authenticated) ---&gt; [Server (Node.js/Express)] &lt;--- Mongoose ---&gt; [MongoDB Cloud]</w:t>
      </w:r>
    </w:p>
    <w:p>
      <w:pPr>
        <w:keepNext/>
        <w:spacing w:before="240" w:after="80"/>
      </w:pPr>
      <w:r>
        <w:rPr>
          <w:rFonts w:ascii="Arial" w:hAnsi="Arial"/>
          <w:b/>
          <w:color w:val="4F46E5"/>
          <w:sz w:val="28"/>
        </w:rPr>
        <w:t>5.2 Technology Stack Justification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B365D"/>
            <w:tcMar>
              <w:top w:w="100" w:type="dxa"/>
              <w:bottom w:w="100" w:type="dxa"/>
              <w:left w:w="150" w:type="dxa"/>
              <w:right w:w="150" w:type="dxa"/>
            </w:tcMar>
          </w:tcPr>
          <w:p>
            <w:r>
              <w:rPr>
                <w:rFonts w:ascii="Arial" w:hAnsi="Arial"/>
                <w:b/>
                <w:color w:val="FFFFFF"/>
              </w:rPr>
              <w:t>Layer</w:t>
            </w:r>
          </w:p>
        </w:tc>
        <w:tc>
          <w:tcPr>
            <w:tcW w:type="dxa" w:w="3120"/>
            <w:shd w:val="clear" w:color="auto" w:fill="1B365D"/>
            <w:tcMar>
              <w:top w:w="100" w:type="dxa"/>
              <w:bottom w:w="100" w:type="dxa"/>
              <w:left w:w="150" w:type="dxa"/>
              <w:right w:w="150" w:type="dxa"/>
            </w:tcMar>
          </w:tcPr>
          <w:p>
            <w:r>
              <w:rPr>
                <w:rFonts w:ascii="Arial" w:hAnsi="Arial"/>
                <w:b/>
                <w:color w:val="FFFFFF"/>
              </w:rPr>
              <w:t>Technology Used</w:t>
            </w:r>
          </w:p>
        </w:tc>
        <w:tc>
          <w:tcPr>
            <w:tcW w:type="dxa" w:w="3120"/>
            <w:shd w:val="clear" w:color="auto" w:fill="1B365D"/>
            <w:tcMar>
              <w:top w:w="100" w:type="dxa"/>
              <w:bottom w:w="100" w:type="dxa"/>
              <w:left w:w="150" w:type="dxa"/>
              <w:right w:w="150" w:type="dxa"/>
            </w:tcMar>
          </w:tcPr>
          <w:p>
            <w:r>
              <w:rPr>
                <w:rFonts w:ascii="Arial" w:hAnsi="Arial"/>
                <w:b/>
                <w:color w:val="FFFFFF"/>
              </w:rPr>
              <w:t>Technical Justification</w:t>
            </w:r>
          </w:p>
        </w:tc>
      </w:tr>
      <w:tr>
        <w:tc>
          <w:tcPr>
            <w:tcW w:type="dxa" w:w="3120"/>
            <w:tcMar>
              <w:top w:w="100" w:type="dxa"/>
              <w:bottom w:w="100" w:type="dxa"/>
              <w:left w:w="150" w:type="dxa"/>
              <w:right w:w="150" w:type="dxa"/>
            </w:tcMar>
          </w:tcPr>
          <w:p>
            <w:r>
              <w:rPr>
                <w:rFonts w:ascii="Arial" w:hAnsi="Arial"/>
                <w:sz w:val="19"/>
              </w:rPr>
              <w:t>Frontend Framework</w:t>
            </w:r>
          </w:p>
        </w:tc>
        <w:tc>
          <w:tcPr>
            <w:tcW w:type="dxa" w:w="3120"/>
            <w:tcMar>
              <w:top w:w="100" w:type="dxa"/>
              <w:bottom w:w="100" w:type="dxa"/>
              <w:left w:w="150" w:type="dxa"/>
              <w:right w:w="150" w:type="dxa"/>
            </w:tcMar>
          </w:tcPr>
          <w:p>
            <w:r>
              <w:rPr>
                <w:rFonts w:ascii="Arial" w:hAnsi="Arial"/>
                <w:b/>
                <w:sz w:val="19"/>
              </w:rPr>
              <w:t>React 18 / Vite 8</w:t>
            </w:r>
          </w:p>
        </w:tc>
        <w:tc>
          <w:tcPr>
            <w:tcW w:type="dxa" w:w="3120"/>
            <w:tcMar>
              <w:top w:w="100" w:type="dxa"/>
              <w:bottom w:w="100" w:type="dxa"/>
              <w:left w:w="150" w:type="dxa"/>
              <w:right w:w="150" w:type="dxa"/>
            </w:tcMar>
          </w:tcPr>
          <w:p>
            <w:r>
              <w:rPr>
                <w:rFonts w:ascii="Arial" w:hAnsi="Arial"/>
                <w:sz w:val="19"/>
              </w:rPr>
              <w:t>Ultra-fast HMR, component-driven modular structure, and optimized asset bundling for low footprint.</w:t>
            </w:r>
          </w:p>
        </w:tc>
      </w:tr>
      <w:tr>
        <w:tc>
          <w:tcPr>
            <w:tcW w:type="dxa" w:w="3120"/>
            <w:tcMar>
              <w:top w:w="100" w:type="dxa"/>
              <w:bottom w:w="100" w:type="dxa"/>
              <w:left w:w="150" w:type="dxa"/>
              <w:right w:w="150" w:type="dxa"/>
            </w:tcMar>
          </w:tcPr>
          <w:p>
            <w:r>
              <w:rPr>
                <w:rFonts w:ascii="Arial" w:hAnsi="Arial"/>
                <w:sz w:val="19"/>
              </w:rPr>
              <w:t>Backend Runtime</w:t>
            </w:r>
          </w:p>
        </w:tc>
        <w:tc>
          <w:tcPr>
            <w:tcW w:type="dxa" w:w="3120"/>
            <w:tcMar>
              <w:top w:w="100" w:type="dxa"/>
              <w:bottom w:w="100" w:type="dxa"/>
              <w:left w:w="150" w:type="dxa"/>
              <w:right w:w="150" w:type="dxa"/>
            </w:tcMar>
          </w:tcPr>
          <w:p>
            <w:r>
              <w:rPr>
                <w:rFonts w:ascii="Arial" w:hAnsi="Arial"/>
                <w:b/>
                <w:sz w:val="19"/>
              </w:rPr>
              <w:t>Node.js / Express 4</w:t>
            </w:r>
          </w:p>
        </w:tc>
        <w:tc>
          <w:tcPr>
            <w:tcW w:type="dxa" w:w="3120"/>
            <w:tcMar>
              <w:top w:w="100" w:type="dxa"/>
              <w:bottom w:w="100" w:type="dxa"/>
              <w:left w:w="150" w:type="dxa"/>
              <w:right w:w="150" w:type="dxa"/>
            </w:tcMar>
          </w:tcPr>
          <w:p>
            <w:r>
              <w:rPr>
                <w:rFonts w:ascii="Arial" w:hAnsi="Arial"/>
                <w:sz w:val="19"/>
              </w:rPr>
              <w:t>Non-blocking I/O loop, massive middleware ecosystem, and simple JSON payload parsing.</w:t>
            </w:r>
          </w:p>
        </w:tc>
      </w:tr>
      <w:tr>
        <w:tc>
          <w:tcPr>
            <w:tcW w:type="dxa" w:w="3120"/>
            <w:tcMar>
              <w:top w:w="100" w:type="dxa"/>
              <w:bottom w:w="100" w:type="dxa"/>
              <w:left w:w="150" w:type="dxa"/>
              <w:right w:w="150" w:type="dxa"/>
            </w:tcMar>
          </w:tcPr>
          <w:p>
            <w:r>
              <w:rPr>
                <w:rFonts w:ascii="Arial" w:hAnsi="Arial"/>
                <w:sz w:val="19"/>
              </w:rPr>
              <w:t>Database Layer</w:t>
            </w:r>
          </w:p>
        </w:tc>
        <w:tc>
          <w:tcPr>
            <w:tcW w:type="dxa" w:w="3120"/>
            <w:tcMar>
              <w:top w:w="100" w:type="dxa"/>
              <w:bottom w:w="100" w:type="dxa"/>
              <w:left w:w="150" w:type="dxa"/>
              <w:right w:w="150" w:type="dxa"/>
            </w:tcMar>
          </w:tcPr>
          <w:p>
            <w:r>
              <w:rPr>
                <w:rFonts w:ascii="Arial" w:hAnsi="Arial"/>
                <w:b/>
                <w:sz w:val="19"/>
              </w:rPr>
              <w:t>MongoDB / Mongoose 8</w:t>
            </w:r>
          </w:p>
        </w:tc>
        <w:tc>
          <w:tcPr>
            <w:tcW w:type="dxa" w:w="3120"/>
            <w:tcMar>
              <w:top w:w="100" w:type="dxa"/>
              <w:bottom w:w="100" w:type="dxa"/>
              <w:left w:w="150" w:type="dxa"/>
              <w:right w:w="150" w:type="dxa"/>
            </w:tcMar>
          </w:tcPr>
          <w:p>
            <w:r>
              <w:rPr>
                <w:rFonts w:ascii="Arial" w:hAnsi="Arial"/>
                <w:sz w:val="19"/>
              </w:rPr>
              <w:t>Supports native 2dsphere geospatial indices ($near queries) and document flexibility for active listings.</w:t>
            </w:r>
          </w:p>
        </w:tc>
      </w:tr>
      <w:tr>
        <w:tc>
          <w:tcPr>
            <w:tcW w:type="dxa" w:w="3120"/>
            <w:tcMar>
              <w:top w:w="100" w:type="dxa"/>
              <w:bottom w:w="100" w:type="dxa"/>
              <w:left w:w="150" w:type="dxa"/>
              <w:right w:w="150" w:type="dxa"/>
            </w:tcMar>
          </w:tcPr>
          <w:p>
            <w:r>
              <w:rPr>
                <w:rFonts w:ascii="Arial" w:hAnsi="Arial"/>
                <w:sz w:val="19"/>
              </w:rPr>
              <w:t>Map Navigation</w:t>
            </w:r>
          </w:p>
        </w:tc>
        <w:tc>
          <w:tcPr>
            <w:tcW w:type="dxa" w:w="3120"/>
            <w:tcMar>
              <w:top w:w="100" w:type="dxa"/>
              <w:bottom w:w="100" w:type="dxa"/>
              <w:left w:w="150" w:type="dxa"/>
              <w:right w:w="150" w:type="dxa"/>
            </w:tcMar>
          </w:tcPr>
          <w:p>
            <w:r>
              <w:rPr>
                <w:rFonts w:ascii="Arial" w:hAnsi="Arial"/>
                <w:b/>
                <w:sz w:val="19"/>
              </w:rPr>
              <w:t>Leaflet / React-Leaflet</w:t>
            </w:r>
          </w:p>
        </w:tc>
        <w:tc>
          <w:tcPr>
            <w:tcW w:type="dxa" w:w="3120"/>
            <w:tcMar>
              <w:top w:w="100" w:type="dxa"/>
              <w:bottom w:w="100" w:type="dxa"/>
              <w:left w:w="150" w:type="dxa"/>
              <w:right w:w="150" w:type="dxa"/>
            </w:tcMar>
          </w:tcPr>
          <w:p>
            <w:r>
              <w:rPr>
                <w:rFonts w:ascii="Arial" w:hAnsi="Arial"/>
                <w:sz w:val="19"/>
              </w:rPr>
              <w:t>Open-source interactive coordinates rendering with custom markers and vector lines without costly API fees.</w:t>
            </w:r>
          </w:p>
        </w:tc>
      </w:tr>
    </w:tbl>
    <w:p>
      <w:pPr>
        <w:spacing w:before="200"/>
      </w:pPr>
    </w:p>
    <w:p>
      <w:r>
        <w:br w:type="page"/>
      </w:r>
    </w:p>
    <w:p>
      <w:pPr>
        <w:keepNext/>
        <w:spacing w:before="360" w:after="120"/>
      </w:pPr>
      <w:r>
        <w:rPr>
          <w:rFonts w:ascii="Arial" w:hAnsi="Arial"/>
          <w:b/>
          <w:color w:val="1B365D"/>
          <w:sz w:val="36"/>
        </w:rPr>
        <w:t>6. Database Model &amp; Schema Specifications</w:t>
      </w:r>
    </w:p>
    <w:p>
      <w:pPr>
        <w:keepNext/>
        <w:spacing w:before="240" w:after="80"/>
      </w:pPr>
      <w:r>
        <w:rPr>
          <w:rFonts w:ascii="Arial" w:hAnsi="Arial"/>
          <w:b/>
          <w:color w:val="4F46E5"/>
          <w:sz w:val="28"/>
        </w:rPr>
        <w:t>6.1 Data Model (ERD Specifications)</w:t>
      </w:r>
    </w:p>
    <w:p>
      <w:pPr>
        <w:spacing w:after="160" w:line="276" w:lineRule="auto"/>
      </w:pPr>
      <w:r>
        <w:rPr>
          <w:rFonts w:ascii="Arial" w:hAnsi="Arial"/>
          <w:i w:val="0"/>
          <w:color w:val="0F172A"/>
          <w:sz w:val="21"/>
        </w:rPr>
        <w:t>Below are the five core database models defining the operational data relationships:</w:t>
      </w:r>
    </w:p>
    <w:p>
      <w:pPr>
        <w:keepNext/>
        <w:spacing w:before="160" w:after="40"/>
      </w:pPr>
      <w:r>
        <w:rPr>
          <w:rFonts w:ascii="Arial" w:hAnsi="Arial"/>
          <w:b/>
          <w:color w:val="475569"/>
          <w:sz w:val="23"/>
        </w:rPr>
        <w:t>1. User Schema:</w:t>
      </w:r>
    </w:p>
    <w:p>
      <w:pPr>
        <w:pStyle w:val="ListBullet"/>
        <w:spacing w:after="80" w:line="276" w:lineRule="auto"/>
      </w:pPr>
      <w:r>
        <w:rPr>
          <w:rFonts w:ascii="Arial" w:hAnsi="Arial"/>
          <w:color w:val="0F172A"/>
          <w:sz w:val="21"/>
        </w:rPr>
        <w:t>String, required, name of organization.</w:t>
      </w:r>
    </w:p>
    <w:p>
      <w:pPr>
        <w:pStyle w:val="ListBullet"/>
        <w:spacing w:after="80" w:line="276" w:lineRule="auto"/>
      </w:pPr>
      <w:r>
        <w:rPr>
          <w:rFonts w:ascii="Arial" w:hAnsi="Arial"/>
          <w:color w:val="0F172A"/>
          <w:sz w:val="21"/>
        </w:rPr>
        <w:t>String, required, unique, email login credential.</w:t>
      </w:r>
    </w:p>
    <w:p>
      <w:pPr>
        <w:pStyle w:val="ListBullet"/>
        <w:spacing w:after="80" w:line="276" w:lineRule="auto"/>
      </w:pPr>
      <w:r>
        <w:rPr>
          <w:rFonts w:ascii="Arial" w:hAnsi="Arial"/>
          <w:color w:val="0F172A"/>
          <w:sz w:val="21"/>
        </w:rPr>
        <w:t>String, required, hashed password.</w:t>
      </w:r>
    </w:p>
    <w:p>
      <w:pPr>
        <w:pStyle w:val="ListBullet"/>
        <w:spacing w:after="80" w:line="276" w:lineRule="auto"/>
      </w:pPr>
      <w:r>
        <w:rPr>
          <w:rFonts w:ascii="Arial" w:hAnsi="Arial"/>
          <w:color w:val="0F172A"/>
          <w:sz w:val="21"/>
        </w:rPr>
        <w:t>String, required, enum: ['donor', 'soup_kitchen', 'admin'].</w:t>
      </w:r>
    </w:p>
    <w:p>
      <w:pPr>
        <w:pStyle w:val="ListBullet"/>
        <w:spacing w:after="80" w:line="276" w:lineRule="auto"/>
      </w:pPr>
      <w:r>
        <w:rPr>
          <w:rFonts w:ascii="Arial" w:hAnsi="Arial"/>
          <w:color w:val="0F172A"/>
          <w:sz w:val="21"/>
        </w:rPr>
        <w:t>Object: { lat: Number, lng: Number }, coordinates of facility.</w:t>
      </w:r>
    </w:p>
    <w:p>
      <w:pPr>
        <w:pStyle w:val="ListBullet"/>
        <w:spacing w:after="80" w:line="276" w:lineRule="auto"/>
      </w:pPr>
      <w:r>
        <w:rPr>
          <w:rFonts w:ascii="Arial" w:hAnsi="Arial"/>
          <w:b/>
          <w:color w:val="0F172A"/>
          <w:sz w:val="21"/>
        </w:rPr>
        <w:t>locationGeo:</w:t>
      </w:r>
      <w:r>
        <w:rPr>
          <w:rFonts w:ascii="Arial" w:hAnsi="Arial"/>
          <w:color w:val="0F172A"/>
          <w:sz w:val="21"/>
        </w:rPr>
        <w:t>Object: { type: String ('Point'), coordinates: [lng, lat] }, mapped to 2dsphere geospatial index.</w:t>
      </w:r>
    </w:p>
    <w:p>
      <w:pPr>
        <w:pStyle w:val="ListBullet"/>
        <w:spacing w:after="80" w:line="276" w:lineRule="auto"/>
      </w:pPr>
      <w:r>
        <w:rPr>
          <w:rFonts w:ascii="Arial" w:hAnsi="Arial"/>
          <w:color w:val="0F172A"/>
          <w:sz w:val="21"/>
        </w:rPr>
        <w:t>Number, default 100. Tracks donor score. Drop below 40 suspends listing access.</w:t>
      </w:r>
    </w:p>
    <w:p>
      <w:pPr>
        <w:pStyle w:val="ListBullet"/>
        <w:spacing w:after="80" w:line="276" w:lineRule="auto"/>
      </w:pPr>
      <w:r>
        <w:rPr>
          <w:rFonts w:ascii="Arial" w:hAnsi="Arial"/>
          <w:color w:val="0F172A"/>
          <w:sz w:val="21"/>
        </w:rPr>
        <w:t>Boolean, default true. Tracks suspension status.</w:t>
      </w:r>
    </w:p>
    <w:p>
      <w:pPr>
        <w:keepNext/>
        <w:spacing w:before="160" w:after="40"/>
      </w:pPr>
      <w:r>
        <w:rPr>
          <w:rFonts w:ascii="Arial" w:hAnsi="Arial"/>
          <w:b/>
          <w:color w:val="475569"/>
          <w:sz w:val="23"/>
        </w:rPr>
        <w:t>2. Ingredient Schema:</w:t>
      </w:r>
    </w:p>
    <w:p>
      <w:pPr>
        <w:pStyle w:val="ListBullet"/>
        <w:spacing w:after="80" w:line="276" w:lineRule="auto"/>
      </w:pPr>
      <w:r>
        <w:rPr>
          <w:rFonts w:ascii="Arial" w:hAnsi="Arial"/>
          <w:color w:val="0F172A"/>
          <w:sz w:val="21"/>
        </w:rPr>
        <w:t>String, required, item name.</w:t>
      </w:r>
    </w:p>
    <w:p>
      <w:pPr>
        <w:pStyle w:val="ListBullet"/>
        <w:spacing w:after="80" w:line="276" w:lineRule="auto"/>
      </w:pPr>
      <w:r>
        <w:rPr>
          <w:rFonts w:ascii="Arial" w:hAnsi="Arial"/>
          <w:color w:val="0F172A"/>
          <w:sz w:val="21"/>
        </w:rPr>
        <w:t>Number, required, item quantity amount.</w:t>
      </w:r>
    </w:p>
    <w:p>
      <w:pPr>
        <w:pStyle w:val="ListBullet"/>
        <w:spacing w:after="80" w:line="276" w:lineRule="auto"/>
      </w:pPr>
      <w:r>
        <w:rPr>
          <w:rFonts w:ascii="Arial" w:hAnsi="Arial"/>
          <w:color w:val="0F172A"/>
          <w:sz w:val="21"/>
        </w:rPr>
        <w:t>String, required, unit representation (e.g. kg, loaves, liters).</w:t>
      </w:r>
    </w:p>
    <w:p>
      <w:pPr>
        <w:pStyle w:val="ListBullet"/>
        <w:spacing w:after="80" w:line="276" w:lineRule="auto"/>
      </w:pPr>
      <w:r>
        <w:rPr>
          <w:rFonts w:ascii="Arial" w:hAnsi="Arial"/>
          <w:color w:val="0F172A"/>
          <w:sz w:val="21"/>
        </w:rPr>
        <w:t>String, required, enum: ['Vegetables', 'Fruits', 'Grains', 'Bakery', 'Dairy', 'Protein', 'Other'].</w:t>
      </w:r>
    </w:p>
    <w:p>
      <w:pPr>
        <w:pStyle w:val="ListBullet"/>
        <w:spacing w:after="80" w:line="276" w:lineRule="auto"/>
      </w:pPr>
      <w:r>
        <w:rPr>
          <w:rFonts w:ascii="Arial" w:hAnsi="Arial"/>
          <w:color w:val="0F172A"/>
          <w:sz w:val="21"/>
        </w:rPr>
        <w:t>String, required, storage temp requirements (e.g. Ambient, Refrigerated, Frozen).</w:t>
      </w:r>
    </w:p>
    <w:p>
      <w:pPr>
        <w:pStyle w:val="ListBullet"/>
        <w:spacing w:after="80" w:line="276" w:lineRule="auto"/>
      </w:pPr>
      <w:r>
        <w:rPr>
          <w:rFonts w:ascii="Arial" w:hAnsi="Arial"/>
          <w:color w:val="0F172A"/>
          <w:sz w:val="21"/>
        </w:rPr>
        <w:t>Date, required, food expiration limits.</w:t>
      </w:r>
    </w:p>
    <w:p>
      <w:pPr>
        <w:pStyle w:val="ListBullet"/>
        <w:spacing w:after="80" w:line="276" w:lineRule="auto"/>
      </w:pPr>
      <w:r>
        <w:rPr>
          <w:rFonts w:ascii="Arial" w:hAnsi="Arial"/>
          <w:color w:val="0F172A"/>
          <w:sz w:val="21"/>
        </w:rPr>
        <w:t>Date, required, pickup deadline, must occur before expiryDate.</w:t>
      </w:r>
    </w:p>
    <w:p>
      <w:pPr>
        <w:pStyle w:val="ListBullet"/>
        <w:spacing w:after="80" w:line="276" w:lineRule="auto"/>
      </w:pPr>
      <w:r>
        <w:rPr>
          <w:rFonts w:ascii="Arial" w:hAnsi="Arial"/>
          <w:color w:val="0F172A"/>
          <w:sz w:val="21"/>
        </w:rPr>
        <w:t>String, required, enum: ['pending', 'approved', 'rejected', 'reserved', 'fulfilled', 'expired'].</w:t>
      </w:r>
    </w:p>
    <w:p>
      <w:pPr>
        <w:pStyle w:val="ListBullet"/>
        <w:spacing w:after="80" w:line="276" w:lineRule="auto"/>
      </w:pPr>
      <w:r>
        <w:rPr>
          <w:rFonts w:ascii="Arial" w:hAnsi="Arial"/>
          <w:color w:val="0F172A"/>
          <w:sz w:val="21"/>
        </w:rPr>
        <w:t>ObjectId reference to User (donor role), tracks original creator.</w:t>
      </w:r>
    </w:p>
    <w:p>
      <w:pPr>
        <w:keepNext/>
        <w:spacing w:before="160" w:after="40"/>
      </w:pPr>
      <w:r>
        <w:rPr>
          <w:rFonts w:ascii="Arial" w:hAnsi="Arial"/>
          <w:b/>
          <w:color w:val="475569"/>
          <w:sz w:val="23"/>
        </w:rPr>
        <w:t>3. Request Schema:</w:t>
      </w:r>
    </w:p>
    <w:p>
      <w:pPr>
        <w:pStyle w:val="ListBullet"/>
        <w:spacing w:after="80" w:line="276" w:lineRule="auto"/>
      </w:pPr>
      <w:r>
        <w:rPr>
          <w:rFonts w:ascii="Arial" w:hAnsi="Arial"/>
          <w:color w:val="0F172A"/>
          <w:sz w:val="21"/>
        </w:rPr>
        <w:t>ObjectId reference to Ingredient listing.</w:t>
      </w:r>
    </w:p>
    <w:p>
      <w:pPr>
        <w:pStyle w:val="ListBullet"/>
        <w:spacing w:after="80" w:line="276" w:lineRule="auto"/>
      </w:pPr>
      <w:r>
        <w:rPr>
          <w:rFonts w:ascii="Arial" w:hAnsi="Arial"/>
          <w:color w:val="0F172A"/>
          <w:sz w:val="21"/>
        </w:rPr>
        <w:t>ObjectId reference to User (soup_kitchen role).</w:t>
      </w:r>
    </w:p>
    <w:p>
      <w:pPr>
        <w:pStyle w:val="ListBullet"/>
        <w:spacing w:after="80" w:line="276" w:lineRule="auto"/>
      </w:pPr>
      <w:r>
        <w:rPr>
          <w:rFonts w:ascii="Arial" w:hAnsi="Arial"/>
          <w:color w:val="0F172A"/>
          <w:sz w:val="21"/>
        </w:rPr>
        <w:t>String, required, enum: ['pending', 'approved', 'rejected', 'expired', 'fulfilled'].</w:t>
      </w:r>
    </w:p>
    <w:p>
      <w:pPr>
        <w:pStyle w:val="ListBullet"/>
        <w:spacing w:after="80" w:line="276" w:lineRule="auto"/>
      </w:pPr>
      <w:r>
        <w:rPr>
          <w:rFonts w:ascii="Arial" w:hAnsi="Arial"/>
          <w:color w:val="0F172A"/>
          <w:sz w:val="21"/>
        </w:rPr>
        <w:t>Number, required, quantity requested.</w:t>
      </w:r>
    </w:p>
    <w:p>
      <w:pPr>
        <w:pStyle w:val="ListBullet"/>
        <w:spacing w:after="80" w:line="276" w:lineRule="auto"/>
      </w:pPr>
      <w:r>
        <w:rPr>
          <w:rFonts w:ascii="Arial" w:hAnsi="Arial"/>
          <w:color w:val="0F172A"/>
          <w:sz w:val="21"/>
        </w:rPr>
        <w:t>String, required, enum: ['DONOR_DELIVERY', 'KITCHEN_PICKUP'].</w:t>
      </w:r>
    </w:p>
    <w:p>
      <w:pPr>
        <w:keepNext/>
        <w:spacing w:before="160" w:after="40"/>
      </w:pPr>
      <w:r>
        <w:rPr>
          <w:rFonts w:ascii="Arial" w:hAnsi="Arial"/>
          <w:b/>
          <w:color w:val="475569"/>
          <w:sz w:val="23"/>
        </w:rPr>
        <w:t>4. Reservation Schema:</w:t>
      </w:r>
    </w:p>
    <w:p>
      <w:pPr>
        <w:pStyle w:val="ListBullet"/>
        <w:spacing w:after="80" w:line="276" w:lineRule="auto"/>
      </w:pPr>
      <w:r>
        <w:rPr>
          <w:rFonts w:ascii="Arial" w:hAnsi="Arial"/>
          <w:color w:val="0F172A"/>
          <w:sz w:val="21"/>
        </w:rPr>
        <w:t>ObjectId reference to Request.</w:t>
      </w:r>
    </w:p>
    <w:p>
      <w:pPr>
        <w:pStyle w:val="ListBullet"/>
        <w:spacing w:after="80" w:line="276" w:lineRule="auto"/>
      </w:pPr>
      <w:r>
        <w:rPr>
          <w:rFonts w:ascii="Arial" w:hAnsi="Arial"/>
          <w:color w:val="0F172A"/>
          <w:sz w:val="21"/>
        </w:rPr>
        <w:t>ObjectId reference to Ingredient.</w:t>
      </w:r>
    </w:p>
    <w:p>
      <w:pPr>
        <w:pStyle w:val="ListBullet"/>
        <w:spacing w:after="80" w:line="276" w:lineRule="auto"/>
      </w:pPr>
      <w:r>
        <w:rPr>
          <w:rFonts w:ascii="Arial" w:hAnsi="Arial"/>
          <w:color w:val="0F172A"/>
          <w:sz w:val="21"/>
        </w:rPr>
        <w:t>ObjectId reference to User (soup_kitchen).</w:t>
      </w:r>
    </w:p>
    <w:p>
      <w:pPr>
        <w:pStyle w:val="ListBullet"/>
        <w:spacing w:after="80" w:line="276" w:lineRule="auto"/>
      </w:pPr>
      <w:r>
        <w:rPr>
          <w:rFonts w:ascii="Arial" w:hAnsi="Arial"/>
          <w:color w:val="0F172A"/>
          <w:sz w:val="21"/>
        </w:rPr>
        <w:t>Number, quantity claimed.</w:t>
      </w:r>
    </w:p>
    <w:p>
      <w:pPr>
        <w:pStyle w:val="ListBullet"/>
        <w:spacing w:after="80" w:line="276" w:lineRule="auto"/>
      </w:pPr>
      <w:r>
        <w:rPr>
          <w:rFonts w:ascii="Arial" w:hAnsi="Arial"/>
          <w:color w:val="0F172A"/>
          <w:sz w:val="21"/>
        </w:rPr>
        <w:t>String, unique 6-digit code generated upon claim confirmation.</w:t>
      </w:r>
    </w:p>
    <w:p>
      <w:pPr>
        <w:pStyle w:val="ListBullet"/>
        <w:spacing w:after="80" w:line="276" w:lineRule="auto"/>
      </w:pPr>
      <w:r>
        <w:rPr>
          <w:rFonts w:ascii="Arial" w:hAnsi="Arial"/>
          <w:color w:val="0F172A"/>
          <w:sz w:val="21"/>
        </w:rPr>
        <w:t>String, required, enum: ['reserved', 'picked_up', 'delivered', 'expired'].</w:t>
      </w:r>
    </w:p>
    <w:p>
      <w:pPr>
        <w:pStyle w:val="ListBullet"/>
        <w:spacing w:after="80" w:line="276" w:lineRule="auto"/>
      </w:pPr>
      <w:r>
        <w:rPr>
          <w:rFonts w:ascii="Arial" w:hAnsi="Arial"/>
          <w:color w:val="0F172A"/>
          <w:sz w:val="21"/>
        </w:rPr>
        <w:t>Date, completed handoff timestamp.</w:t>
      </w:r>
    </w:p>
    <w:p>
      <w:pPr>
        <w:keepNext/>
        <w:spacing w:before="160" w:after="40"/>
      </w:pPr>
      <w:r>
        <w:rPr>
          <w:rFonts w:ascii="Arial" w:hAnsi="Arial"/>
          <w:b/>
          <w:color w:val="475569"/>
          <w:sz w:val="23"/>
        </w:rPr>
        <w:t>5. QualityReport Schema:</w:t>
      </w:r>
    </w:p>
    <w:p>
      <w:pPr>
        <w:pStyle w:val="ListBullet"/>
        <w:spacing w:after="80" w:line="276" w:lineRule="auto"/>
      </w:pPr>
      <w:r>
        <w:rPr>
          <w:rFonts w:ascii="Arial" w:hAnsi="Arial"/>
          <w:color w:val="0F172A"/>
          <w:sz w:val="21"/>
        </w:rPr>
        <w:t>ObjectId reference to User (kitchen reporting).</w:t>
      </w:r>
    </w:p>
    <w:p>
      <w:pPr>
        <w:pStyle w:val="ListBullet"/>
        <w:spacing w:after="80" w:line="276" w:lineRule="auto"/>
      </w:pPr>
      <w:r>
        <w:rPr>
          <w:rFonts w:ascii="Arial" w:hAnsi="Arial"/>
          <w:color w:val="0F172A"/>
          <w:sz w:val="21"/>
        </w:rPr>
        <w:t>ObjectId reference to Reservation.</w:t>
      </w:r>
    </w:p>
    <w:p>
      <w:pPr>
        <w:pStyle w:val="ListBullet"/>
        <w:spacing w:after="80" w:line="276" w:lineRule="auto"/>
      </w:pPr>
      <w:r>
        <w:rPr>
          <w:rFonts w:ascii="Arial" w:hAnsi="Arial"/>
          <w:color w:val="0F172A"/>
          <w:sz w:val="21"/>
        </w:rPr>
        <w:t>ObjectId reference to Ingredient accused.</w:t>
      </w:r>
    </w:p>
    <w:p>
      <w:pPr>
        <w:pStyle w:val="ListBullet"/>
        <w:spacing w:after="80" w:line="276" w:lineRule="auto"/>
      </w:pPr>
      <w:r>
        <w:rPr>
          <w:rFonts w:ascii="Arial" w:hAnsi="Arial"/>
          <w:color w:val="0F172A"/>
          <w:sz w:val="21"/>
        </w:rPr>
        <w:t>String, description of quality defect.</w:t>
      </w:r>
    </w:p>
    <w:p>
      <w:pPr>
        <w:pStyle w:val="ListBullet"/>
        <w:spacing w:after="80" w:line="276" w:lineRule="auto"/>
      </w:pPr>
      <w:r>
        <w:rPr>
          <w:rFonts w:ascii="Arial" w:hAnsi="Arial"/>
          <w:color w:val="0F172A"/>
          <w:sz w:val="21"/>
        </w:rPr>
        <w:t>String, URL of proof documentation (photo, video link).</w:t>
      </w:r>
    </w:p>
    <w:p>
      <w:pPr>
        <w:pStyle w:val="ListBullet"/>
        <w:spacing w:after="80" w:line="276" w:lineRule="auto"/>
      </w:pPr>
      <w:r>
        <w:rPr>
          <w:rFonts w:ascii="Arial" w:hAnsi="Arial"/>
          <w:color w:val="0F172A"/>
          <w:sz w:val="21"/>
        </w:rPr>
        <w:t>String, required, enum: ['pending', 'upheld', 'dismissed'].</w:t>
      </w:r>
    </w:p>
    <w:p>
      <w:r>
        <w:br w:type="page"/>
      </w:r>
    </w:p>
    <w:p>
      <w:pPr>
        <w:keepNext/>
        <w:spacing w:before="360" w:after="120"/>
      </w:pPr>
      <w:r>
        <w:rPr>
          <w:rFonts w:ascii="Arial" w:hAnsi="Arial"/>
          <w:b/>
          <w:color w:val="1B365D"/>
          <w:sz w:val="36"/>
        </w:rPr>
        <w:t>7. API &amp; Integration Requirements</w:t>
      </w:r>
    </w:p>
    <w:p>
      <w:pPr>
        <w:keepNext/>
        <w:spacing w:before="240" w:after="80"/>
      </w:pPr>
      <w:r>
        <w:rPr>
          <w:rFonts w:ascii="Arial" w:hAnsi="Arial"/>
          <w:b/>
          <w:color w:val="4F46E5"/>
          <w:sz w:val="28"/>
        </w:rPr>
        <w:t>7.1 Auth &amp; Donor Services REST Endpoints</w:t>
      </w:r>
    </w:p>
    <w:p>
      <w:pPr>
        <w:pStyle w:val="ListBullet"/>
        <w:spacing w:after="80" w:line="276" w:lineRule="auto"/>
      </w:pPr>
      <w:r>
        <w:rPr>
          <w:rFonts w:ascii="Arial" w:hAnsi="Arial"/>
          <w:color w:val="0F172A"/>
          <w:sz w:val="21"/>
        </w:rPr>
        <w:t>POST /api/auth/register - Create account with location coordinate mapping.</w:t>
      </w:r>
    </w:p>
    <w:p>
      <w:pPr>
        <w:pStyle w:val="ListBullet"/>
        <w:spacing w:after="80" w:line="276" w:lineRule="auto"/>
      </w:pPr>
      <w:r>
        <w:rPr>
          <w:rFonts w:ascii="Arial" w:hAnsi="Arial"/>
          <w:color w:val="0F172A"/>
          <w:sz w:val="21"/>
        </w:rPr>
        <w:t>POST /api/auth/login - Retrieve JWT access token and user metadata.</w:t>
      </w:r>
    </w:p>
    <w:p>
      <w:pPr>
        <w:pStyle w:val="ListBullet"/>
        <w:spacing w:after="80" w:line="276" w:lineRule="auto"/>
      </w:pPr>
      <w:r>
        <w:rPr>
          <w:rFonts w:ascii="Arial" w:hAnsi="Arial"/>
          <w:color w:val="0F172A"/>
          <w:sz w:val="21"/>
        </w:rPr>
        <w:t>POST /api/donor/ingredients - Create a surplus listing (restricted to active donors).</w:t>
      </w:r>
    </w:p>
    <w:p>
      <w:pPr>
        <w:pStyle w:val="ListBullet"/>
        <w:spacing w:after="80" w:line="276" w:lineRule="auto"/>
      </w:pPr>
      <w:r>
        <w:rPr>
          <w:rFonts w:ascii="Arial" w:hAnsi="Arial"/>
          <w:color w:val="0F172A"/>
          <w:sz w:val="21"/>
        </w:rPr>
        <w:t>GET /api/donor/ingredients - Retrieve active inventory listings uploaded by donor.</w:t>
      </w:r>
    </w:p>
    <w:p>
      <w:pPr>
        <w:pStyle w:val="ListBullet"/>
        <w:spacing w:after="80" w:line="276" w:lineRule="auto"/>
      </w:pPr>
      <w:r>
        <w:rPr>
          <w:rFonts w:ascii="Arial" w:hAnsi="Arial"/>
          <w:color w:val="0F172A"/>
          <w:sz w:val="21"/>
        </w:rPr>
        <w:t>PUT /api/donor/ingredients/:id - Modify specifications of a pending listing.</w:t>
      </w:r>
    </w:p>
    <w:p>
      <w:pPr>
        <w:pStyle w:val="ListBullet"/>
        <w:spacing w:after="80" w:line="276" w:lineRule="auto"/>
      </w:pPr>
      <w:r>
        <w:rPr>
          <w:rFonts w:ascii="Arial" w:hAnsi="Arial"/>
          <w:color w:val="0F172A"/>
          <w:sz w:val="21"/>
        </w:rPr>
        <w:t>DELETE /api/donor/ingredients/:id - Delete an un-reserved listing.</w:t>
      </w:r>
    </w:p>
    <w:p>
      <w:pPr>
        <w:pStyle w:val="ListBullet"/>
        <w:spacing w:after="80" w:line="276" w:lineRule="auto"/>
      </w:pPr>
      <w:r>
        <w:rPr>
          <w:rFonts w:ascii="Arial" w:hAnsi="Arial"/>
          <w:color w:val="0F172A"/>
          <w:sz w:val="21"/>
        </w:rPr>
        <w:t>POST /api/donor/verify-handoff - Accept a 6-digit code to fulfill reservations.</w:t>
      </w:r>
    </w:p>
    <w:p>
      <w:pPr>
        <w:keepNext/>
        <w:spacing w:before="240" w:after="80"/>
      </w:pPr>
      <w:r>
        <w:rPr>
          <w:rFonts w:ascii="Arial" w:hAnsi="Arial"/>
          <w:b/>
          <w:color w:val="4F46E5"/>
          <w:sz w:val="28"/>
        </w:rPr>
        <w:t>7.2 Kitchen &amp; Admin Services REST Endpoints</w:t>
      </w:r>
    </w:p>
    <w:p>
      <w:pPr>
        <w:pStyle w:val="ListBullet"/>
        <w:spacing w:after="80" w:line="276" w:lineRule="auto"/>
      </w:pPr>
      <w:r>
        <w:rPr>
          <w:rFonts w:ascii="Arial" w:hAnsi="Arial"/>
          <w:color w:val="0F172A"/>
          <w:sz w:val="21"/>
        </w:rPr>
        <w:t>GET /api/kitchen/ingredients - Retrieve proximate approved listings (sorted by distance, paginated).</w:t>
      </w:r>
    </w:p>
    <w:p>
      <w:pPr>
        <w:pStyle w:val="ListBullet"/>
        <w:spacing w:after="80" w:line="276" w:lineRule="auto"/>
      </w:pPr>
      <w:r>
        <w:rPr>
          <w:rFonts w:ascii="Arial" w:hAnsi="Arial"/>
          <w:color w:val="0F172A"/>
          <w:sz w:val="21"/>
        </w:rPr>
        <w:t>POST /api/kitchen/claim - Claims a specific listing, generating verification code.</w:t>
      </w:r>
    </w:p>
    <w:p>
      <w:pPr>
        <w:pStyle w:val="ListBullet"/>
        <w:spacing w:after="80" w:line="276" w:lineRule="auto"/>
      </w:pPr>
      <w:r>
        <w:rPr>
          <w:rFonts w:ascii="Arial" w:hAnsi="Arial"/>
          <w:color w:val="0F172A"/>
          <w:sz w:val="21"/>
        </w:rPr>
        <w:t>GET /api/kitchen/reservations - Lists claims and delivery status tracking.</w:t>
      </w:r>
    </w:p>
    <w:p>
      <w:pPr>
        <w:pStyle w:val="ListBullet"/>
        <w:spacing w:after="80" w:line="276" w:lineRule="auto"/>
      </w:pPr>
      <w:r>
        <w:rPr>
          <w:rFonts w:ascii="Arial" w:hAnsi="Arial"/>
          <w:color w:val="0F172A"/>
          <w:sz w:val="21"/>
        </w:rPr>
        <w:t>POST /api/kitchen/dispute - Submits a quality dispute report on a claim.</w:t>
      </w:r>
    </w:p>
    <w:p>
      <w:pPr>
        <w:pStyle w:val="ListBullet"/>
        <w:spacing w:after="80" w:line="276" w:lineRule="auto"/>
      </w:pPr>
      <w:r>
        <w:rPr>
          <w:rFonts w:ascii="Arial" w:hAnsi="Arial"/>
          <w:color w:val="0F172A"/>
          <w:sz w:val="21"/>
        </w:rPr>
        <w:t>GET /api/admin/pending - Audits listings queue for verification approvals.</w:t>
      </w:r>
    </w:p>
    <w:p>
      <w:pPr>
        <w:pStyle w:val="ListBullet"/>
        <w:spacing w:after="80" w:line="276" w:lineRule="auto"/>
      </w:pPr>
      <w:r>
        <w:rPr>
          <w:rFonts w:ascii="Arial" w:hAnsi="Arial"/>
          <w:color w:val="0F172A"/>
          <w:sz w:val="21"/>
        </w:rPr>
        <w:t>PUT /api/admin/approve/:id - Approves an ingredient listing.</w:t>
      </w:r>
    </w:p>
    <w:p>
      <w:pPr>
        <w:pStyle w:val="ListBullet"/>
        <w:spacing w:after="80" w:line="276" w:lineRule="auto"/>
      </w:pPr>
      <w:r>
        <w:rPr>
          <w:rFonts w:ascii="Arial" w:hAnsi="Arial"/>
          <w:color w:val="0F172A"/>
          <w:sz w:val="21"/>
        </w:rPr>
        <w:t>PUT /api/admin/reject/:id - Rejects an ingredient listing.</w:t>
      </w:r>
    </w:p>
    <w:p>
      <w:pPr>
        <w:pStyle w:val="ListBullet"/>
        <w:spacing w:after="80" w:line="276" w:lineRule="auto"/>
      </w:pPr>
      <w:r>
        <w:rPr>
          <w:rFonts w:ascii="Arial" w:hAnsi="Arial"/>
          <w:color w:val="0F172A"/>
          <w:sz w:val="21"/>
        </w:rPr>
        <w:t>PUT /api/admin/resolve-dispute - Resolves a quality audit (dismiss or uphold).</w:t>
      </w:r>
    </w:p>
    <w:p>
      <w:pPr>
        <w:pStyle w:val="ListBullet"/>
        <w:spacing w:after="80" w:line="276" w:lineRule="auto"/>
      </w:pPr>
      <w:r>
        <w:rPr>
          <w:rFonts w:ascii="Arial" w:hAnsi="Arial"/>
          <w:color w:val="0F172A"/>
          <w:sz w:val="21"/>
        </w:rPr>
        <w:t>PUT /api/admin/reactivate/:id - Reactivates a suspended donor, setting reputation to 60.</w:t>
      </w:r>
    </w:p>
    <w:p>
      <w:pPr>
        <w:keepNext/>
        <w:spacing w:before="240" w:after="80"/>
      </w:pPr>
      <w:r>
        <w:rPr>
          <w:rFonts w:ascii="Arial" w:hAnsi="Arial"/>
          <w:b/>
          <w:color w:val="4F46E5"/>
          <w:sz w:val="28"/>
        </w:rPr>
        <w:t>7.3 External Integration Requirements</w:t>
      </w:r>
    </w:p>
    <w:p>
      <w:pPr>
        <w:pStyle w:val="ListBullet"/>
        <w:spacing w:after="80" w:line="276" w:lineRule="auto"/>
      </w:pPr>
      <w:r>
        <w:rPr>
          <w:rFonts w:ascii="Arial" w:hAnsi="Arial"/>
          <w:b/>
          <w:color w:val="0F172A"/>
          <w:sz w:val="21"/>
        </w:rPr>
        <w:t>OpenStreetMap Map Layer:</w:t>
      </w:r>
      <w:r>
        <w:rPr>
          <w:rFonts w:ascii="Arial" w:hAnsi="Arial"/>
          <w:color w:val="0F172A"/>
          <w:sz w:val="21"/>
        </w:rPr>
        <w:t>Leaflet OpenStreetMap tiles are integrated client-side to render interactive markers.</w:t>
      </w:r>
    </w:p>
    <w:p>
      <w:pPr>
        <w:pStyle w:val="ListBullet"/>
        <w:spacing w:after="80" w:line="276" w:lineRule="auto"/>
      </w:pPr>
      <w:r>
        <w:rPr>
          <w:rFonts w:ascii="Arial" w:hAnsi="Arial"/>
          <w:b/>
          <w:color w:val="0F172A"/>
          <w:sz w:val="21"/>
        </w:rPr>
        <w:t>Geospatial Mathematics:</w:t>
      </w:r>
      <w:r>
        <w:rPr>
          <w:rFonts w:ascii="Arial" w:hAnsi="Arial"/>
          <w:color w:val="0F172A"/>
          <w:sz w:val="21"/>
        </w:rPr>
        <w:t>A coordinate distance utility handles calculating geospatial distance in KM using Haversine equations or MongoDB $near math.</w:t>
      </w:r>
    </w:p>
    <w:p>
      <w:r>
        <w:br w:type="page"/>
      </w:r>
    </w:p>
    <w:p>
      <w:pPr>
        <w:keepNext/>
        <w:spacing w:before="360" w:after="120"/>
      </w:pPr>
      <w:r>
        <w:rPr>
          <w:rFonts w:ascii="Arial" w:hAnsi="Arial"/>
          <w:b/>
          <w:color w:val="1B365D"/>
          <w:sz w:val="36"/>
        </w:rPr>
        <w:t>8. Frontend &amp; UI/UX Design System</w:t>
      </w:r>
    </w:p>
    <w:p>
      <w:pPr>
        <w:keepNext/>
        <w:spacing w:before="240" w:after="80"/>
      </w:pPr>
      <w:r>
        <w:rPr>
          <w:rFonts w:ascii="Arial" w:hAnsi="Arial"/>
          <w:b/>
          <w:color w:val="4F46E5"/>
          <w:sz w:val="28"/>
        </w:rPr>
        <w:t>8.1 Design Principles</w:t>
      </w:r>
    </w:p>
    <w:p>
      <w:pPr>
        <w:pStyle w:val="ListBullet"/>
        <w:spacing w:after="80" w:line="276" w:lineRule="auto"/>
      </w:pPr>
      <w:r>
        <w:rPr>
          <w:rFonts w:ascii="Arial" w:hAnsi="Arial"/>
          <w:b/>
          <w:color w:val="0F172A"/>
          <w:sz w:val="21"/>
        </w:rPr>
        <w:t>Dark Mode Palette:</w:t>
      </w:r>
      <w:r>
        <w:rPr>
          <w:rFonts w:ascii="Arial" w:hAnsi="Arial"/>
          <w:color w:val="0F172A"/>
          <w:sz w:val="21"/>
        </w:rPr>
        <w:t>Warm deep slate navy-gray background (#0B0D17) paired with slightly lighter card surfaces (#161925) for high visual depth.</w:t>
      </w:r>
    </w:p>
    <w:p>
      <w:pPr>
        <w:pStyle w:val="ListBullet"/>
        <w:spacing w:after="80" w:line="276" w:lineRule="auto"/>
      </w:pPr>
      <w:r>
        <w:rPr>
          <w:rFonts w:ascii="Arial" w:hAnsi="Arial"/>
          <w:b/>
          <w:color w:val="0F172A"/>
          <w:sz w:val="21"/>
        </w:rPr>
        <w:t>Light Mode Palette:</w:t>
      </w:r>
      <w:r>
        <w:rPr>
          <w:rFonts w:ascii="Arial" w:hAnsi="Arial"/>
          <w:color w:val="0F172A"/>
          <w:sz w:val="21"/>
        </w:rPr>
        <w:t>Soft, warm off-white background (#F5F6F8) paired with pure white cards (#FFFFFF) and dark slate text (#0F172A) to ensure excellent contrast without harshness.</w:t>
      </w:r>
    </w:p>
    <w:p>
      <w:pPr>
        <w:pStyle w:val="ListBullet"/>
        <w:spacing w:after="80" w:line="276" w:lineRule="auto"/>
      </w:pPr>
      <w:r>
        <w:rPr>
          <w:rFonts w:ascii="Arial" w:hAnsi="Arial"/>
          <w:b/>
          <w:color w:val="0F172A"/>
          <w:sz w:val="21"/>
        </w:rPr>
        <w:t>Transitions &amp; Micro-interactions:</w:t>
      </w:r>
      <w:r>
        <w:rPr>
          <w:rFonts w:ascii="Arial" w:hAnsi="Arial"/>
          <w:color w:val="0F172A"/>
          <w:sz w:val="21"/>
        </w:rPr>
        <w:t>Transition timing set to 250ms ease on theme switches and 150ms transform scales on button presses.</w:t>
      </w:r>
    </w:p>
    <w:p>
      <w:pPr>
        <w:keepNext/>
        <w:spacing w:before="240" w:after="80"/>
      </w:pPr>
      <w:r>
        <w:rPr>
          <w:rFonts w:ascii="Arial" w:hAnsi="Arial"/>
          <w:b/>
          <w:color w:val="4F46E5"/>
          <w:sz w:val="28"/>
        </w:rPr>
        <w:t>8.2 Interactive Header Console Widgets</w:t>
      </w:r>
    </w:p>
    <w:p>
      <w:pPr>
        <w:pStyle w:val="ListBullet"/>
        <w:spacing w:after="80" w:line="276" w:lineRule="auto"/>
      </w:pPr>
      <w:r>
        <w:rPr>
          <w:rFonts w:ascii="Arial" w:hAnsi="Arial"/>
          <w:b/>
          <w:color w:val="0F172A"/>
          <w:sz w:val="21"/>
        </w:rPr>
        <w:t>Interactive Search Bar:</w:t>
      </w:r>
      <w:r>
        <w:rPr>
          <w:rFonts w:ascii="Arial" w:hAnsi="Arial"/>
          <w:color w:val="0F172A"/>
          <w:sz w:val="21"/>
        </w:rPr>
        <w:t>Keyboard shortcuts (Ctrl /) automatically focus the search field. Input displays an instant clear button (✕).</w:t>
      </w:r>
    </w:p>
    <w:p>
      <w:pPr>
        <w:pStyle w:val="ListBullet"/>
        <w:spacing w:after="80" w:line="276" w:lineRule="auto"/>
      </w:pPr>
      <w:r>
        <w:rPr>
          <w:rFonts w:ascii="Arial" w:hAnsi="Arial"/>
          <w:b/>
          <w:color w:val="0F172A"/>
          <w:sz w:val="21"/>
        </w:rPr>
        <w:t>Notification Popover:</w:t>
      </w:r>
      <w:r>
        <w:rPr>
          <w:rFonts w:ascii="Arial" w:hAnsi="Arial"/>
          <w:color w:val="0F172A"/>
          <w:sz w:val="21"/>
        </w:rPr>
        <w:t>Bell button with unread alerts count badge. Clicking reveals a dropdown of notifications with mark-all-read links.</w:t>
      </w:r>
    </w:p>
    <w:p>
      <w:pPr>
        <w:pStyle w:val="ListBullet"/>
        <w:spacing w:after="80" w:line="276" w:lineRule="auto"/>
      </w:pPr>
      <w:r>
        <w:rPr>
          <w:rFonts w:ascii="Arial" w:hAnsi="Arial"/>
          <w:b/>
          <w:color w:val="0F172A"/>
          <w:sz w:val="21"/>
        </w:rPr>
        <w:t>User Profile Popover:</w:t>
      </w:r>
      <w:r>
        <w:rPr>
          <w:rFonts w:ascii="Arial" w:hAnsi="Arial"/>
          <w:color w:val="0F172A"/>
          <w:sz w:val="21"/>
        </w:rPr>
        <w:t>Displays organization logo initials. Clicking toggles a dropdown showing profile info, email, role badge, and logout links.</w:t>
      </w:r>
    </w:p>
    <w:p>
      <w:pPr>
        <w:pStyle w:val="ListBullet"/>
        <w:spacing w:after="80" w:line="276" w:lineRule="auto"/>
      </w:pPr>
      <w:r>
        <w:rPr>
          <w:rFonts w:ascii="Arial" w:hAnsi="Arial"/>
          <w:b/>
          <w:color w:val="0F172A"/>
          <w:sz w:val="21"/>
        </w:rPr>
        <w:t>Click-Outside Dismissal:</w:t>
      </w:r>
      <w:r>
        <w:rPr>
          <w:rFonts w:ascii="Arial" w:hAnsi="Arial"/>
          <w:color w:val="0F172A"/>
          <w:sz w:val="21"/>
        </w:rPr>
        <w:t>Includes click-outside listeners to automatically collapse menus when clicking outside the relative wrappers.</w:t>
      </w:r>
    </w:p>
    <w:p>
      <w:r>
        <w:br w:type="page"/>
      </w:r>
    </w:p>
    <w:p>
      <w:pPr>
        <w:keepNext/>
        <w:spacing w:before="360" w:after="120"/>
      </w:pPr>
      <w:r>
        <w:rPr>
          <w:rFonts w:ascii="Arial" w:hAnsi="Arial"/>
          <w:b/>
          <w:color w:val="1B365D"/>
          <w:sz w:val="36"/>
        </w:rPr>
        <w:t>9. Validation, Testing &amp; Environment Requirements</w:t>
      </w:r>
    </w:p>
    <w:p>
      <w:pPr>
        <w:keepNext/>
        <w:spacing w:before="240" w:after="80"/>
      </w:pPr>
      <w:r>
        <w:rPr>
          <w:rFonts w:ascii="Arial" w:hAnsi="Arial"/>
          <w:b/>
          <w:color w:val="4F46E5"/>
          <w:sz w:val="28"/>
        </w:rPr>
        <w:t>9.1 Input Validation Rules</w:t>
      </w:r>
    </w:p>
    <w:p>
      <w:pPr>
        <w:pStyle w:val="ListBullet"/>
        <w:spacing w:after="80" w:line="276" w:lineRule="auto"/>
      </w:pPr>
      <w:r>
        <w:rPr>
          <w:rFonts w:ascii="Arial" w:hAnsi="Arial"/>
          <w:b/>
          <w:color w:val="0F172A"/>
          <w:sz w:val="21"/>
        </w:rPr>
        <w:t>Organization Name:</w:t>
      </w:r>
      <w:r>
        <w:rPr>
          <w:rFonts w:ascii="Arial" w:hAnsi="Arial"/>
          <w:color w:val="0F172A"/>
          <w:sz w:val="21"/>
        </w:rPr>
        <w:t>Required field, minimum length of 3 characters, must not contain HTML tags.</w:t>
      </w:r>
    </w:p>
    <w:p>
      <w:pPr>
        <w:pStyle w:val="ListBullet"/>
        <w:spacing w:after="80" w:line="276" w:lineRule="auto"/>
      </w:pPr>
      <w:r>
        <w:rPr>
          <w:rFonts w:ascii="Arial" w:hAnsi="Arial"/>
          <w:b/>
          <w:color w:val="0F172A"/>
          <w:sz w:val="21"/>
        </w:rPr>
        <w:t>Email Address:</w:t>
      </w:r>
      <w:r>
        <w:rPr>
          <w:rFonts w:ascii="Arial" w:hAnsi="Arial"/>
          <w:color w:val="0F172A"/>
          <w:sz w:val="21"/>
        </w:rPr>
        <w:t>Must fit proper email regex formatting and unique constraint check in DB.</w:t>
      </w:r>
    </w:p>
    <w:p>
      <w:pPr>
        <w:pStyle w:val="ListBullet"/>
        <w:spacing w:after="80" w:line="276" w:lineRule="auto"/>
      </w:pPr>
      <w:r>
        <w:rPr>
          <w:rFonts w:ascii="Arial" w:hAnsi="Arial"/>
          <w:b/>
          <w:color w:val="0F172A"/>
          <w:sz w:val="21"/>
        </w:rPr>
        <w:t>Ingredient Quantity:</w:t>
      </w:r>
      <w:r>
        <w:rPr>
          <w:rFonts w:ascii="Arial" w:hAnsi="Arial"/>
          <w:color w:val="0F172A"/>
          <w:sz w:val="21"/>
        </w:rPr>
        <w:t>Must be &gt;0. Negative quantities are rejected at route validator level.</w:t>
      </w:r>
    </w:p>
    <w:p>
      <w:pPr>
        <w:pStyle w:val="ListBullet"/>
        <w:spacing w:after="80" w:line="276" w:lineRule="auto"/>
      </w:pPr>
      <w:r>
        <w:rPr>
          <w:rFonts w:ascii="Arial" w:hAnsi="Arial"/>
          <w:b/>
          <w:color w:val="0F172A"/>
          <w:sz w:val="21"/>
        </w:rPr>
        <w:t>Expiry &amp; Deadline offsets:</w:t>
      </w:r>
      <w:r>
        <w:rPr>
          <w:rFonts w:ascii="Arial" w:hAnsi="Arial"/>
          <w:color w:val="0F172A"/>
          <w:sz w:val="21"/>
        </w:rPr>
        <w:t>Must fall within logical bounds. pickupDeadline must occur before the expiryDate.</w:t>
      </w:r>
    </w:p>
    <w:p>
      <w:pPr>
        <w:keepNext/>
        <w:spacing w:before="240" w:after="80"/>
      </w:pPr>
      <w:r>
        <w:rPr>
          <w:rFonts w:ascii="Arial" w:hAnsi="Arial"/>
          <w:b/>
          <w:color w:val="4F46E5"/>
          <w:sz w:val="28"/>
        </w:rPr>
        <w:t>9.2 Testing Framework</w:t>
      </w:r>
    </w:p>
    <w:p>
      <w:pPr>
        <w:pStyle w:val="ListBullet"/>
        <w:spacing w:after="80" w:line="276" w:lineRule="auto"/>
      </w:pPr>
      <w:r>
        <w:rPr>
          <w:rFonts w:ascii="Arial" w:hAnsi="Arial"/>
          <w:b/>
          <w:color w:val="0F172A"/>
          <w:sz w:val="21"/>
        </w:rPr>
        <w:t>Route Integration Tests:</w:t>
      </w:r>
      <w:r>
        <w:rPr>
          <w:rFonts w:ascii="Arial" w:hAnsi="Arial"/>
          <w:color w:val="0F172A"/>
          <w:sz w:val="21"/>
        </w:rPr>
        <w:t>Integration tests evaluate route boundaries, deactivation blocks, and CORS origin constraints.</w:t>
      </w:r>
    </w:p>
    <w:p>
      <w:pPr>
        <w:pStyle w:val="ListBullet"/>
        <w:spacing w:after="80" w:line="276" w:lineRule="auto"/>
      </w:pPr>
      <w:r>
        <w:rPr>
          <w:rFonts w:ascii="Arial" w:hAnsi="Arial"/>
          <w:b/>
          <w:color w:val="0F172A"/>
          <w:sz w:val="21"/>
        </w:rPr>
        <w:t>Geospatial hook tests:</w:t>
      </w:r>
      <w:r>
        <w:rPr>
          <w:rFonts w:ascii="Arial" w:hAnsi="Arial"/>
          <w:color w:val="0F172A"/>
          <w:sz w:val="21"/>
        </w:rPr>
        <w:t>Geospatial hooks and index migration models verify proximity mapping consistency.</w:t>
      </w:r>
    </w:p>
    <w:p>
      <w:pPr>
        <w:pStyle w:val="ListBullet"/>
        <w:spacing w:after="80" w:line="276" w:lineRule="auto"/>
      </w:pPr>
      <w:r>
        <w:rPr>
          <w:rFonts w:ascii="Arial" w:hAnsi="Arial"/>
          <w:b/>
          <w:color w:val="0F172A"/>
          <w:sz w:val="21"/>
        </w:rPr>
        <w:t>Test Runner Suites:</w:t>
      </w:r>
      <w:r>
        <w:rPr>
          <w:rFonts w:ascii="Arial" w:hAnsi="Arial"/>
          <w:color w:val="0F172A"/>
          <w:sz w:val="21"/>
        </w:rPr>
        <w:t>Test runner verify_all.js runs automatically in background index sequences to check regressions.</w:t>
      </w:r>
    </w:p>
    <w:p>
      <w:pPr>
        <w:keepNext/>
        <w:spacing w:before="240" w:after="80"/>
      </w:pPr>
      <w:r>
        <w:rPr>
          <w:rFonts w:ascii="Arial" w:hAnsi="Arial"/>
          <w:b/>
          <w:color w:val="4F46E5"/>
          <w:sz w:val="28"/>
        </w:rPr>
        <w:t>9.3 Deployment Specifications</w:t>
      </w:r>
    </w:p>
    <w:p>
      <w:pPr>
        <w:pStyle w:val="ListBullet"/>
        <w:spacing w:after="80" w:line="276" w:lineRule="auto"/>
      </w:pPr>
      <w:r>
        <w:rPr>
          <w:rFonts w:ascii="Arial" w:hAnsi="Arial"/>
          <w:b/>
          <w:color w:val="0F172A"/>
          <w:sz w:val="21"/>
        </w:rPr>
        <w:t>Express Hosting:</w:t>
      </w:r>
      <w:r>
        <w:rPr>
          <w:rFonts w:ascii="Arial" w:hAnsi="Arial"/>
          <w:color w:val="0F172A"/>
          <w:sz w:val="21"/>
        </w:rPr>
        <w:t>Backend runs as an Express cluster server. CORS middleware restricts origin access using FRONTEND_URL environment constraints.</w:t>
      </w:r>
    </w:p>
    <w:p>
      <w:pPr>
        <w:pStyle w:val="ListBullet"/>
        <w:spacing w:after="80" w:line="276" w:lineRule="auto"/>
      </w:pPr>
      <w:r>
        <w:rPr>
          <w:rFonts w:ascii="Arial" w:hAnsi="Arial"/>
          <w:b/>
          <w:color w:val="0F172A"/>
          <w:sz w:val="21"/>
        </w:rPr>
        <w:t>Client Hosting:</w:t>
      </w:r>
      <w:r>
        <w:rPr>
          <w:rFonts w:ascii="Arial" w:hAnsi="Arial"/>
          <w:color w:val="0F172A"/>
          <w:sz w:val="21"/>
        </w:rPr>
        <w:t>Assets compiled via Vite bundler. Output directory (dist/) must load assets relative to server paths.</w:t>
      </w:r>
    </w:p>
    <w:p>
      <w:pPr>
        <w:pStyle w:val="ListBullet"/>
        <w:spacing w:after="80" w:line="276" w:lineRule="auto"/>
      </w:pPr>
      <w:r>
        <w:rPr>
          <w:rFonts w:ascii="Arial" w:hAnsi="Arial"/>
          <w:b/>
          <w:color w:val="0F172A"/>
          <w:sz w:val="21"/>
        </w:rPr>
        <w:t>Background Sweeper:</w:t>
      </w:r>
      <w:r>
        <w:rPr>
          <w:rFonts w:ascii="Arial" w:hAnsi="Arial"/>
          <w:color w:val="0F172A"/>
          <w:sz w:val="21"/>
        </w:rPr>
        <w:t>Scheduler sweeper process loops every 30 seconds to clean old listings, maintaining database health.</w:t>
      </w:r>
    </w:p>
    <w:p>
      <w:r>
        <w:br w:type="page"/>
      </w:r>
    </w:p>
    <w:p>
      <w:pPr>
        <w:keepNext/>
        <w:spacing w:before="360" w:after="120"/>
      </w:pPr>
      <w:r>
        <w:rPr>
          <w:rFonts w:ascii="Arial" w:hAnsi="Arial"/>
          <w:b/>
          <w:color w:val="1B365D"/>
          <w:sz w:val="36"/>
        </w:rPr>
        <w:t>10. Potential Gaps &amp; Missing Requirements</w:t>
      </w:r>
    </w:p>
    <w:p>
      <w:pPr>
        <w:spacing w:after="160" w:line="276" w:lineRule="auto"/>
      </w:pPr>
      <w:r>
        <w:rPr>
          <w:rFonts w:ascii="Arial" w:hAnsi="Arial"/>
          <w:i w:val="0"/>
          <w:color w:val="0F172A"/>
          <w:sz w:val="21"/>
        </w:rPr>
        <w:t>Critical analysis of the current requirements reveals several functional and structural gaps that should be addressed before public deployment:</w:t>
      </w:r>
    </w:p>
    <w:p>
      <w:pPr>
        <w:keepNext/>
        <w:spacing w:before="240" w:after="80"/>
      </w:pPr>
      <w:r>
        <w:rPr>
          <w:rFonts w:ascii="Arial" w:hAnsi="Arial"/>
          <w:b/>
          <w:color w:val="4F46E5"/>
          <w:sz w:val="28"/>
        </w:rPr>
        <w:t>10.1 Real-Time Coordinates Drift</w:t>
      </w:r>
    </w:p>
    <w:p>
      <w:pPr>
        <w:spacing w:after="160" w:line="276" w:lineRule="auto"/>
      </w:pPr>
      <w:r>
        <w:rPr>
          <w:rFonts w:ascii="Arial" w:hAnsi="Arial"/>
          <w:b/>
          <w:color w:val="0F172A"/>
          <w:sz w:val="21"/>
        </w:rPr>
        <w:t xml:space="preserve">Why it matters: </w:t>
      </w:r>
      <w:r>
        <w:rPr>
          <w:rFonts w:ascii="Arial" w:hAnsi="Arial"/>
          <w:i w:val="0"/>
          <w:color w:val="0F172A"/>
          <w:sz w:val="21"/>
        </w:rPr>
        <w:t>Currently, coordinate mapping only occurs during user registration. If a donor facility moves or has multiple branch locations, the system cannot match proximity accurately. This leads to transit waste.</w:t>
      </w:r>
    </w:p>
    <w:p>
      <w:pPr>
        <w:spacing w:after="160" w:line="276" w:lineRule="auto"/>
      </w:pPr>
      <w:r>
        <w:rPr>
          <w:rFonts w:ascii="Arial" w:hAnsi="Arial"/>
          <w:b/>
          <w:color w:val="0F172A"/>
          <w:sz w:val="21"/>
        </w:rPr>
        <w:t xml:space="preserve">Recommended Improvement: </w:t>
      </w:r>
      <w:r>
        <w:rPr>
          <w:rFonts w:ascii="Arial" w:hAnsi="Arial"/>
          <w:i w:val="0"/>
          <w:color w:val="0F172A"/>
          <w:sz w:val="21"/>
        </w:rPr>
        <w:t>Update the User schema to support an array of active branches, each with unique coordinates, allowing donors to select the listing location at upload time.</w:t>
      </w:r>
    </w:p>
    <w:p>
      <w:pPr>
        <w:keepNext/>
        <w:spacing w:before="240" w:after="80"/>
      </w:pPr>
      <w:r>
        <w:rPr>
          <w:rFonts w:ascii="Arial" w:hAnsi="Arial"/>
          <w:b/>
          <w:color w:val="4F46E5"/>
          <w:sz w:val="28"/>
        </w:rPr>
        <w:t>10.2 Quality Audit Collision (Collusion)</w:t>
      </w:r>
    </w:p>
    <w:p>
      <w:pPr>
        <w:spacing w:after="160" w:line="276" w:lineRule="auto"/>
      </w:pPr>
      <w:r>
        <w:rPr>
          <w:rFonts w:ascii="Arial" w:hAnsi="Arial"/>
          <w:b/>
          <w:color w:val="0F172A"/>
          <w:sz w:val="21"/>
        </w:rPr>
        <w:t xml:space="preserve">Why it matters: </w:t>
      </w:r>
      <w:r>
        <w:rPr>
          <w:rFonts w:ascii="Arial" w:hAnsi="Arial"/>
          <w:i w:val="0"/>
          <w:color w:val="0F172A"/>
          <w:sz w:val="21"/>
        </w:rPr>
        <w:t>Currently, any kitchen can file a quality dispute, immediately trigger an administrative audit, and deduct 15 points. This creates a risk of competitor collusion or malicious reports that unfairly suspend active donors.</w:t>
      </w:r>
    </w:p>
    <w:p>
      <w:pPr>
        <w:spacing w:after="160" w:line="276" w:lineRule="auto"/>
      </w:pPr>
      <w:r>
        <w:rPr>
          <w:rFonts w:ascii="Arial" w:hAnsi="Arial"/>
          <w:b/>
          <w:color w:val="0F172A"/>
          <w:sz w:val="21"/>
        </w:rPr>
        <w:t xml:space="preserve">Recommended Improvement: </w:t>
      </w:r>
      <w:r>
        <w:rPr>
          <w:rFonts w:ascii="Arial" w:hAnsi="Arial"/>
          <w:i w:val="0"/>
          <w:color w:val="0F172A"/>
          <w:sz w:val="21"/>
        </w:rPr>
        <w:t>Introduce a dispute mediation state. Upholding a dispute should require verification from at least two separate kitchens, or a manual inspection upload from an administrator before reputation penalties apply.</w:t>
      </w:r>
    </w:p>
    <w:p>
      <w:pPr>
        <w:keepNext/>
        <w:spacing w:before="240" w:after="80"/>
      </w:pPr>
      <w:r>
        <w:rPr>
          <w:rFonts w:ascii="Arial" w:hAnsi="Arial"/>
          <w:b/>
          <w:color w:val="4F46E5"/>
          <w:sz w:val="28"/>
        </w:rPr>
        <w:t>10.3 Absence of Audit Logs</w:t>
      </w:r>
    </w:p>
    <w:p>
      <w:pPr>
        <w:spacing w:after="160" w:line="276" w:lineRule="auto"/>
      </w:pPr>
      <w:r>
        <w:rPr>
          <w:rFonts w:ascii="Arial" w:hAnsi="Arial"/>
          <w:b/>
          <w:color w:val="0F172A"/>
          <w:sz w:val="21"/>
        </w:rPr>
        <w:t xml:space="preserve">Why it matters: </w:t>
      </w:r>
      <w:r>
        <w:rPr>
          <w:rFonts w:ascii="Arial" w:hAnsi="Arial"/>
          <w:i w:val="0"/>
          <w:color w:val="0F172A"/>
          <w:sz w:val="21"/>
        </w:rPr>
        <w:t>The system has no persistent history of administrative actions. If an admin dismisses a valid food quality report or maliciously reactivates a suspended donor, there is no ledger trail to audit their actions.</w:t>
      </w:r>
    </w:p>
    <w:p>
      <w:pPr>
        <w:spacing w:after="160" w:line="276" w:lineRule="auto"/>
      </w:pPr>
      <w:r>
        <w:rPr>
          <w:rFonts w:ascii="Arial" w:hAnsi="Arial"/>
          <w:b/>
          <w:color w:val="0F172A"/>
          <w:sz w:val="21"/>
        </w:rPr>
        <w:t xml:space="preserve">Recommended Improvement: </w:t>
      </w:r>
      <w:r>
        <w:rPr>
          <w:rFonts w:ascii="Arial" w:hAnsi="Arial"/>
          <w:i w:val="0"/>
          <w:color w:val="0F172A"/>
          <w:sz w:val="21"/>
        </w:rPr>
        <w:t>Create an AdminAuditLog schema tracking the admin user ID, targeted action type (uphold, dismiss, reactivate), target document ID, and custom resolution notes.</w:t>
      </w:r>
    </w:p>
    <w:p>
      <w:pPr>
        <w:keepNext/>
        <w:spacing w:before="240" w:after="80"/>
      </w:pPr>
      <w:r>
        <w:rPr>
          <w:rFonts w:ascii="Arial" w:hAnsi="Arial"/>
          <w:b/>
          <w:color w:val="4F46E5"/>
          <w:sz w:val="28"/>
        </w:rPr>
        <w:t>10.4 Lack of Data Privacy Protections (PII)</w:t>
      </w:r>
    </w:p>
    <w:p>
      <w:pPr>
        <w:spacing w:after="160" w:line="276" w:lineRule="auto"/>
      </w:pPr>
      <w:r>
        <w:rPr>
          <w:rFonts w:ascii="Arial" w:hAnsi="Arial"/>
          <w:b/>
          <w:color w:val="0F172A"/>
          <w:sz w:val="21"/>
        </w:rPr>
        <w:t xml:space="preserve">Why it matters: </w:t>
      </w:r>
      <w:r>
        <w:rPr>
          <w:rFonts w:ascii="Arial" w:hAnsi="Arial"/>
          <w:i w:val="0"/>
          <w:color w:val="0F172A"/>
          <w:sz w:val="21"/>
        </w:rPr>
        <w:t>Donors and kitchens share precise coordinate points. While useful for mapping, exposing exact address locations publicly poses security risks, particularly for domestic abuse shelters acting as soup kitchens.</w:t>
      </w:r>
    </w:p>
    <w:p>
      <w:pPr>
        <w:spacing w:after="160" w:line="276" w:lineRule="auto"/>
      </w:pPr>
      <w:r>
        <w:rPr>
          <w:rFonts w:ascii="Arial" w:hAnsi="Arial"/>
          <w:b/>
          <w:color w:val="0F172A"/>
          <w:sz w:val="21"/>
        </w:rPr>
        <w:t xml:space="preserve">Recommended Improvement: </w:t>
      </w:r>
      <w:r>
        <w:rPr>
          <w:rFonts w:ascii="Arial" w:hAnsi="Arial"/>
          <w:i w:val="0"/>
          <w:color w:val="0F172A"/>
          <w:sz w:val="21"/>
        </w:rPr>
        <w:t>Implement a coordinate fuzzing mechanism. Expose only fuzzed coordinates (within a 500m radius) on public feeds. Reveal the exact handoff coordinates only after a reservation has been approved.</w:t>
      </w:r>
    </w:p>
    <w:p>
      <w:pPr>
        <w:keepNext/>
        <w:spacing w:before="240" w:after="80"/>
      </w:pPr>
      <w:r>
        <w:rPr>
          <w:rFonts w:ascii="Arial" w:hAnsi="Arial"/>
          <w:b/>
          <w:color w:val="4F46E5"/>
          <w:sz w:val="28"/>
        </w:rPr>
        <w:t>10.5 Handoff Code Brute-Forcing</w:t>
      </w:r>
    </w:p>
    <w:p>
      <w:pPr>
        <w:spacing w:after="160" w:line="276" w:lineRule="auto"/>
      </w:pPr>
      <w:r>
        <w:rPr>
          <w:rFonts w:ascii="Arial" w:hAnsi="Arial"/>
          <w:b/>
          <w:color w:val="0F172A"/>
          <w:sz w:val="21"/>
        </w:rPr>
        <w:t xml:space="preserve">Why it matters: </w:t>
      </w:r>
      <w:r>
        <w:rPr>
          <w:rFonts w:ascii="Arial" w:hAnsi="Arial"/>
          <w:i w:val="0"/>
          <w:color w:val="0F172A"/>
          <w:sz w:val="21"/>
        </w:rPr>
        <w:t>The verification code is a simple 6-digit string. If a malicious donor wants to falsely claim a listing was fulfilled to gain reputation points, they could query the verification endpoint in a rapid brute-force loop.</w:t>
      </w:r>
    </w:p>
    <w:p>
      <w:pPr>
        <w:spacing w:after="160" w:line="276" w:lineRule="auto"/>
      </w:pPr>
      <w:r>
        <w:rPr>
          <w:rFonts w:ascii="Arial" w:hAnsi="Arial"/>
          <w:b/>
          <w:color w:val="0F172A"/>
          <w:sz w:val="21"/>
        </w:rPr>
        <w:t xml:space="preserve">Recommended Improvement: </w:t>
      </w:r>
      <w:r>
        <w:rPr>
          <w:rFonts w:ascii="Arial" w:hAnsi="Arial"/>
          <w:i w:val="0"/>
          <w:color w:val="0F172A"/>
          <w:sz w:val="21"/>
        </w:rPr>
        <w:t>Implement rate-limiting on the handoff verification API. Suspend requests from any IP address or user account that fails code verification more than three consecutive times within a 15-minute window.</w:t>
      </w:r>
    </w:p>
    <w:p>
      <w:r>
        <w:br w:type="page"/>
      </w:r>
    </w:p>
    <w:p>
      <w:pPr>
        <w:keepNext/>
        <w:spacing w:before="360" w:after="120"/>
      </w:pPr>
      <w:r>
        <w:rPr>
          <w:rFonts w:ascii="Arial" w:hAnsi="Arial"/>
          <w:b/>
          <w:color w:val="1B365D"/>
          <w:sz w:val="36"/>
        </w:rPr>
        <w:t>11. Requirements Review Checklist</w:t>
      </w:r>
    </w:p>
    <w:p>
      <w:pPr>
        <w:spacing w:after="160" w:line="276" w:lineRule="auto"/>
      </w:pPr>
      <w:r>
        <w:rPr>
          <w:rFonts w:ascii="Arial" w:hAnsi="Arial"/>
          <w:i w:val="0"/>
          <w:color w:val="0F172A"/>
          <w:sz w:val="21"/>
        </w:rPr>
        <w:t>This matrix summarizes the coverage status of all specified requirements areas in the current implementation: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B365D"/>
            <w:tcMar>
              <w:top w:w="100" w:type="dxa"/>
              <w:bottom w:w="100" w:type="dxa"/>
              <w:left w:w="150" w:type="dxa"/>
              <w:right w:w="150" w:type="dxa"/>
            </w:tcMar>
          </w:tcPr>
          <w:p>
            <w:r>
              <w:rPr>
                <w:rFonts w:ascii="Arial" w:hAnsi="Arial"/>
                <w:b/>
                <w:color w:val="FFFFFF"/>
              </w:rPr>
              <w:t>Requirement Area</w:t>
            </w:r>
          </w:p>
        </w:tc>
        <w:tc>
          <w:tcPr>
            <w:tcW w:type="dxa" w:w="3120"/>
            <w:shd w:val="clear" w:color="auto" w:fill="1B365D"/>
            <w:tcMar>
              <w:top w:w="100" w:type="dxa"/>
              <w:bottom w:w="100" w:type="dxa"/>
              <w:left w:w="150" w:type="dxa"/>
              <w:right w:w="150" w:type="dxa"/>
            </w:tcMar>
          </w:tcPr>
          <w:p>
            <w:r>
              <w:rPr>
                <w:rFonts w:ascii="Arial" w:hAnsi="Arial"/>
                <w:b/>
                <w:color w:val="FFFFFF"/>
              </w:rPr>
              <w:t>Status</w:t>
            </w:r>
          </w:p>
        </w:tc>
        <w:tc>
          <w:tcPr>
            <w:tcW w:type="dxa" w:w="3120"/>
            <w:shd w:val="clear" w:color="auto" w:fill="1B365D"/>
            <w:tcMar>
              <w:top w:w="100" w:type="dxa"/>
              <w:bottom w:w="100" w:type="dxa"/>
              <w:left w:w="150" w:type="dxa"/>
              <w:right w:w="150" w:type="dxa"/>
            </w:tcMar>
          </w:tcPr>
          <w:p>
            <w:r>
              <w:rPr>
                <w:rFonts w:ascii="Arial" w:hAnsi="Arial"/>
                <w:b/>
                <w:color w:val="FFFFFF"/>
              </w:rPr>
              <w:t>Implementation Notes / Actions Needed</w:t>
            </w:r>
          </w:p>
        </w:tc>
      </w:tr>
      <w:tr>
        <w:tc>
          <w:tcPr>
            <w:tcW w:type="dxa" w:w="3120"/>
            <w:tcMar>
              <w:top w:w="100" w:type="dxa"/>
              <w:bottom w:w="100" w:type="dxa"/>
              <w:left w:w="150" w:type="dxa"/>
              <w:right w:w="150" w:type="dxa"/>
            </w:tcMar>
          </w:tcPr>
          <w:p>
            <w:r>
              <w:rPr>
                <w:rFonts w:ascii="Arial" w:hAnsi="Arial"/>
                <w:sz w:val="19"/>
              </w:rPr>
              <w:t>Role-Based Access Control (RBAC)</w:t>
            </w:r>
          </w:p>
        </w:tc>
        <w:tc>
          <w:tcPr>
            <w:tcW w:type="dxa" w:w="3120"/>
            <w:tcMar>
              <w:top w:w="100" w:type="dxa"/>
              <w:bottom w:w="100" w:type="dxa"/>
              <w:left w:w="150" w:type="dxa"/>
              <w:right w:w="150" w:type="dxa"/>
            </w:tcMar>
          </w:tcPr>
          <w:p>
            <w:r>
              <w:rPr>
                <w:rFonts w:ascii="Arial" w:hAnsi="Arial"/>
                <w:b/>
                <w:color w:val="059669"/>
                <w:sz w:val="19"/>
              </w:rPr>
              <w:t>Covered</w:t>
            </w:r>
          </w:p>
        </w:tc>
        <w:tc>
          <w:tcPr>
            <w:tcW w:type="dxa" w:w="3120"/>
            <w:tcMar>
              <w:top w:w="100" w:type="dxa"/>
              <w:bottom w:w="100" w:type="dxa"/>
              <w:left w:w="150" w:type="dxa"/>
              <w:right w:w="150" w:type="dxa"/>
            </w:tcMar>
          </w:tcPr>
          <w:p>
            <w:r>
              <w:rPr>
                <w:rFonts w:ascii="Arial" w:hAnsi="Arial"/>
                <w:sz w:val="19"/>
              </w:rPr>
              <w:t>Properly checked via Express roles middleware and validated in integration tests.</w:t>
            </w:r>
          </w:p>
        </w:tc>
      </w:tr>
      <w:tr>
        <w:tc>
          <w:tcPr>
            <w:tcW w:type="dxa" w:w="3120"/>
            <w:tcMar>
              <w:top w:w="100" w:type="dxa"/>
              <w:bottom w:w="100" w:type="dxa"/>
              <w:left w:w="150" w:type="dxa"/>
              <w:right w:w="150" w:type="dxa"/>
            </w:tcMar>
          </w:tcPr>
          <w:p>
            <w:r>
              <w:rPr>
                <w:rFonts w:ascii="Arial" w:hAnsi="Arial"/>
                <w:sz w:val="19"/>
              </w:rPr>
              <w:t>Geospatial Proximity Queries</w:t>
            </w:r>
          </w:p>
        </w:tc>
        <w:tc>
          <w:tcPr>
            <w:tcW w:type="dxa" w:w="3120"/>
            <w:tcMar>
              <w:top w:w="100" w:type="dxa"/>
              <w:bottom w:w="100" w:type="dxa"/>
              <w:left w:w="150" w:type="dxa"/>
              <w:right w:w="150" w:type="dxa"/>
            </w:tcMar>
          </w:tcPr>
          <w:p>
            <w:r>
              <w:rPr>
                <w:rFonts w:ascii="Arial" w:hAnsi="Arial"/>
                <w:b/>
                <w:color w:val="059669"/>
                <w:sz w:val="19"/>
              </w:rPr>
              <w:t>Covered</w:t>
            </w:r>
          </w:p>
        </w:tc>
        <w:tc>
          <w:tcPr>
            <w:tcW w:type="dxa" w:w="3120"/>
            <w:tcMar>
              <w:top w:w="100" w:type="dxa"/>
              <w:bottom w:w="100" w:type="dxa"/>
              <w:left w:w="150" w:type="dxa"/>
              <w:right w:w="150" w:type="dxa"/>
            </w:tcMar>
          </w:tcPr>
          <w:p>
            <w:r>
              <w:rPr>
                <w:rFonts w:ascii="Arial" w:hAnsi="Arial"/>
                <w:sz w:val="19"/>
              </w:rPr>
              <w:t>Implemented via MongoDB 2dsphere indexes and tested successfully in verify_geo_hook.js.</w:t>
            </w:r>
          </w:p>
        </w:tc>
      </w:tr>
      <w:tr>
        <w:tc>
          <w:tcPr>
            <w:tcW w:type="dxa" w:w="3120"/>
            <w:tcMar>
              <w:top w:w="100" w:type="dxa"/>
              <w:bottom w:w="100" w:type="dxa"/>
              <w:left w:w="150" w:type="dxa"/>
              <w:right w:w="150" w:type="dxa"/>
            </w:tcMar>
          </w:tcPr>
          <w:p>
            <w:r>
              <w:rPr>
                <w:rFonts w:ascii="Arial" w:hAnsi="Arial"/>
                <w:sz w:val="19"/>
              </w:rPr>
              <w:t>Interactive UI &amp; Themes</w:t>
            </w:r>
          </w:p>
        </w:tc>
        <w:tc>
          <w:tcPr>
            <w:tcW w:type="dxa" w:w="3120"/>
            <w:tcMar>
              <w:top w:w="100" w:type="dxa"/>
              <w:bottom w:w="100" w:type="dxa"/>
              <w:left w:w="150" w:type="dxa"/>
              <w:right w:w="150" w:type="dxa"/>
            </w:tcMar>
          </w:tcPr>
          <w:p>
            <w:r>
              <w:rPr>
                <w:rFonts w:ascii="Arial" w:hAnsi="Arial"/>
                <w:b/>
                <w:color w:val="059669"/>
                <w:sz w:val="19"/>
              </w:rPr>
              <w:t>Covered</w:t>
            </w:r>
          </w:p>
        </w:tc>
        <w:tc>
          <w:tcPr>
            <w:tcW w:type="dxa" w:w="3120"/>
            <w:tcMar>
              <w:top w:w="100" w:type="dxa"/>
              <w:bottom w:w="100" w:type="dxa"/>
              <w:left w:w="150" w:type="dxa"/>
              <w:right w:w="150" w:type="dxa"/>
            </w:tcMar>
          </w:tcPr>
          <w:p>
            <w:r>
              <w:rPr>
                <w:rFonts w:ascii="Arial" w:hAnsi="Arial"/>
                <w:sz w:val="19"/>
              </w:rPr>
              <w:t>Fully support Light and Dark mode styling with cohesive theme variables in index.css.</w:t>
            </w:r>
          </w:p>
        </w:tc>
      </w:tr>
      <w:tr>
        <w:tc>
          <w:tcPr>
            <w:tcW w:type="dxa" w:w="3120"/>
            <w:tcMar>
              <w:top w:w="100" w:type="dxa"/>
              <w:bottom w:w="100" w:type="dxa"/>
              <w:left w:w="150" w:type="dxa"/>
              <w:right w:w="150" w:type="dxa"/>
            </w:tcMar>
          </w:tcPr>
          <w:p>
            <w:r>
              <w:rPr>
                <w:rFonts w:ascii="Arial" w:hAnsi="Arial"/>
                <w:sz w:val="19"/>
              </w:rPr>
              <w:t>Global Search &amp; Reset</w:t>
            </w:r>
          </w:p>
        </w:tc>
        <w:tc>
          <w:tcPr>
            <w:tcW w:type="dxa" w:w="3120"/>
            <w:tcMar>
              <w:top w:w="100" w:type="dxa"/>
              <w:bottom w:w="100" w:type="dxa"/>
              <w:left w:w="150" w:type="dxa"/>
              <w:right w:w="150" w:type="dxa"/>
            </w:tcMar>
          </w:tcPr>
          <w:p>
            <w:r>
              <w:rPr>
                <w:rFonts w:ascii="Arial" w:hAnsi="Arial"/>
                <w:b/>
                <w:color w:val="059669"/>
                <w:sz w:val="19"/>
              </w:rPr>
              <w:t>Covered</w:t>
            </w:r>
          </w:p>
        </w:tc>
        <w:tc>
          <w:tcPr>
            <w:tcW w:type="dxa" w:w="3120"/>
            <w:tcMar>
              <w:top w:w="100" w:type="dxa"/>
              <w:bottom w:w="100" w:type="dxa"/>
              <w:left w:w="150" w:type="dxa"/>
              <w:right w:w="150" w:type="dxa"/>
            </w:tcMar>
          </w:tcPr>
          <w:p>
            <w:r>
              <w:rPr>
                <w:rFonts w:ascii="Arial" w:hAnsi="Arial"/>
                <w:sz w:val="19"/>
              </w:rPr>
              <w:t>Added SearchContext hook filtering active lists dynamically with clear buttons.</w:t>
            </w:r>
          </w:p>
        </w:tc>
      </w:tr>
      <w:tr>
        <w:tc>
          <w:tcPr>
            <w:tcW w:type="dxa" w:w="3120"/>
            <w:tcMar>
              <w:top w:w="100" w:type="dxa"/>
              <w:bottom w:w="100" w:type="dxa"/>
              <w:left w:w="150" w:type="dxa"/>
              <w:right w:w="150" w:type="dxa"/>
            </w:tcMar>
          </w:tcPr>
          <w:p>
            <w:r>
              <w:rPr>
                <w:rFonts w:ascii="Arial" w:hAnsi="Arial"/>
                <w:sz w:val="19"/>
              </w:rPr>
              <w:t>Notifications &amp; Popovers</w:t>
            </w:r>
          </w:p>
        </w:tc>
        <w:tc>
          <w:tcPr>
            <w:tcW w:type="dxa" w:w="3120"/>
            <w:tcMar>
              <w:top w:w="100" w:type="dxa"/>
              <w:bottom w:w="100" w:type="dxa"/>
              <w:left w:w="150" w:type="dxa"/>
              <w:right w:w="150" w:type="dxa"/>
            </w:tcMar>
          </w:tcPr>
          <w:p>
            <w:r>
              <w:rPr>
                <w:rFonts w:ascii="Arial" w:hAnsi="Arial"/>
                <w:b/>
                <w:color w:val="059669"/>
                <w:sz w:val="19"/>
              </w:rPr>
              <w:t>Covered</w:t>
            </w:r>
          </w:p>
        </w:tc>
        <w:tc>
          <w:tcPr>
            <w:tcW w:type="dxa" w:w="3120"/>
            <w:tcMar>
              <w:top w:w="100" w:type="dxa"/>
              <w:bottom w:w="100" w:type="dxa"/>
              <w:left w:w="150" w:type="dxa"/>
              <w:right w:w="150" w:type="dxa"/>
            </w:tcMar>
          </w:tcPr>
          <w:p>
            <w:r>
              <w:rPr>
                <w:rFonts w:ascii="Arial" w:hAnsi="Arial"/>
                <w:sz w:val="19"/>
              </w:rPr>
              <w:t>Added interactive dropdown popovers in header console with click-outside listener.</w:t>
            </w:r>
          </w:p>
        </w:tc>
      </w:tr>
      <w:tr>
        <w:tc>
          <w:tcPr>
            <w:tcW w:type="dxa" w:w="3120"/>
            <w:tcMar>
              <w:top w:w="100" w:type="dxa"/>
              <w:bottom w:w="100" w:type="dxa"/>
              <w:left w:w="150" w:type="dxa"/>
              <w:right w:w="150" w:type="dxa"/>
            </w:tcMar>
          </w:tcPr>
          <w:p>
            <w:r>
              <w:rPr>
                <w:rFonts w:ascii="Arial" w:hAnsi="Arial"/>
                <w:sz w:val="19"/>
              </w:rPr>
              <w:t>Audit Logging of Admin Actions</w:t>
            </w:r>
          </w:p>
        </w:tc>
        <w:tc>
          <w:tcPr>
            <w:tcW w:type="dxa" w:w="3120"/>
            <w:tcMar>
              <w:top w:w="100" w:type="dxa"/>
              <w:bottom w:w="100" w:type="dxa"/>
              <w:left w:w="150" w:type="dxa"/>
              <w:right w:w="150" w:type="dxa"/>
            </w:tcMar>
          </w:tcPr>
          <w:p>
            <w:r>
              <w:rPr>
                <w:rFonts w:ascii="Arial" w:hAnsi="Arial"/>
                <w:b/>
                <w:color w:val="E11D48"/>
                <w:sz w:val="19"/>
              </w:rPr>
              <w:t>Missing</w:t>
            </w:r>
          </w:p>
        </w:tc>
        <w:tc>
          <w:tcPr>
            <w:tcW w:type="dxa" w:w="3120"/>
            <w:tcMar>
              <w:top w:w="100" w:type="dxa"/>
              <w:bottom w:w="100" w:type="dxa"/>
              <w:left w:w="150" w:type="dxa"/>
              <w:right w:w="150" w:type="dxa"/>
            </w:tcMar>
          </w:tcPr>
          <w:p>
            <w:r>
              <w:rPr>
                <w:rFonts w:ascii="Arial" w:hAnsi="Arial"/>
                <w:sz w:val="19"/>
              </w:rPr>
              <w:t>Admin actions are executed directly on documents. Needs dedicated AuditLog model.</w:t>
            </w:r>
          </w:p>
        </w:tc>
      </w:tr>
      <w:tr>
        <w:tc>
          <w:tcPr>
            <w:tcW w:type="dxa" w:w="3120"/>
            <w:tcMar>
              <w:top w:w="100" w:type="dxa"/>
              <w:bottom w:w="100" w:type="dxa"/>
              <w:left w:w="150" w:type="dxa"/>
              <w:right w:w="150" w:type="dxa"/>
            </w:tcMar>
          </w:tcPr>
          <w:p>
            <w:r>
              <w:rPr>
                <w:rFonts w:ascii="Arial" w:hAnsi="Arial"/>
                <w:sz w:val="19"/>
              </w:rPr>
              <w:t>Rate Limiting &amp; Anti-Brute-Force</w:t>
            </w:r>
          </w:p>
        </w:tc>
        <w:tc>
          <w:tcPr>
            <w:tcW w:type="dxa" w:w="3120"/>
            <w:tcMar>
              <w:top w:w="100" w:type="dxa"/>
              <w:bottom w:w="100" w:type="dxa"/>
              <w:left w:w="150" w:type="dxa"/>
              <w:right w:w="150" w:type="dxa"/>
            </w:tcMar>
          </w:tcPr>
          <w:p>
            <w:r>
              <w:rPr>
                <w:rFonts w:ascii="Arial" w:hAnsi="Arial"/>
                <w:b/>
                <w:color w:val="E11D48"/>
                <w:sz w:val="19"/>
              </w:rPr>
              <w:t>Missing</w:t>
            </w:r>
          </w:p>
        </w:tc>
        <w:tc>
          <w:tcPr>
            <w:tcW w:type="dxa" w:w="3120"/>
            <w:tcMar>
              <w:top w:w="100" w:type="dxa"/>
              <w:bottom w:w="100" w:type="dxa"/>
              <w:left w:w="150" w:type="dxa"/>
              <w:right w:w="150" w:type="dxa"/>
            </w:tcMar>
          </w:tcPr>
          <w:p>
            <w:r>
              <w:rPr>
                <w:rFonts w:ascii="Arial" w:hAnsi="Arial"/>
                <w:sz w:val="19"/>
              </w:rPr>
              <w:t>Needs rate limiter middleware added to the handoff verification API route.</w:t>
            </w:r>
          </w:p>
        </w:tc>
      </w:tr>
      <w:tr>
        <w:tc>
          <w:tcPr>
            <w:tcW w:type="dxa" w:w="3120"/>
            <w:tcMar>
              <w:top w:w="100" w:type="dxa"/>
              <w:bottom w:w="100" w:type="dxa"/>
              <w:left w:w="150" w:type="dxa"/>
              <w:right w:w="150" w:type="dxa"/>
            </w:tcMar>
          </w:tcPr>
          <w:p>
            <w:r>
              <w:rPr>
                <w:rFonts w:ascii="Arial" w:hAnsi="Arial"/>
                <w:sz w:val="19"/>
              </w:rPr>
              <w:t>Geospatial Data Privacy (PII)</w:t>
            </w:r>
          </w:p>
        </w:tc>
        <w:tc>
          <w:tcPr>
            <w:tcW w:type="dxa" w:w="3120"/>
            <w:tcMar>
              <w:top w:w="100" w:type="dxa"/>
              <w:bottom w:w="100" w:type="dxa"/>
              <w:left w:w="150" w:type="dxa"/>
              <w:right w:w="150" w:type="dxa"/>
            </w:tcMar>
          </w:tcPr>
          <w:p>
            <w:r>
              <w:rPr>
                <w:rFonts w:ascii="Arial" w:hAnsi="Arial"/>
                <w:b/>
                <w:color w:val="D97706"/>
                <w:sz w:val="19"/>
              </w:rPr>
              <w:t>Needs Clarification</w:t>
            </w:r>
          </w:p>
        </w:tc>
        <w:tc>
          <w:tcPr>
            <w:tcW w:type="dxa" w:w="3120"/>
            <w:tcMar>
              <w:top w:w="100" w:type="dxa"/>
              <w:bottom w:w="100" w:type="dxa"/>
              <w:left w:w="150" w:type="dxa"/>
              <w:right w:w="150" w:type="dxa"/>
            </w:tcMar>
          </w:tcPr>
          <w:p>
            <w:r>
              <w:rPr>
                <w:rFonts w:ascii="Arial" w:hAnsi="Arial"/>
                <w:sz w:val="19"/>
              </w:rPr>
              <w:t>Decide if exact coordinates should be fuzzed for sensitive recipient facilities.</w:t>
            </w:r>
          </w:p>
        </w:tc>
      </w:tr>
      <w:tr>
        <w:tc>
          <w:tcPr>
            <w:tcW w:type="dxa" w:w="3120"/>
            <w:tcMar>
              <w:top w:w="100" w:type="dxa"/>
              <w:bottom w:w="100" w:type="dxa"/>
              <w:left w:w="150" w:type="dxa"/>
              <w:right w:w="150" w:type="dxa"/>
            </w:tcMar>
          </w:tcPr>
          <w:p>
            <w:r>
              <w:rPr>
                <w:rFonts w:ascii="Arial" w:hAnsi="Arial"/>
                <w:sz w:val="19"/>
              </w:rPr>
              <w:t>Automatic Expiry Sweeper</w:t>
            </w:r>
          </w:p>
        </w:tc>
        <w:tc>
          <w:tcPr>
            <w:tcW w:type="dxa" w:w="3120"/>
            <w:tcMar>
              <w:top w:w="100" w:type="dxa"/>
              <w:bottom w:w="100" w:type="dxa"/>
              <w:left w:w="150" w:type="dxa"/>
              <w:right w:w="150" w:type="dxa"/>
            </w:tcMar>
          </w:tcPr>
          <w:p>
            <w:r>
              <w:rPr>
                <w:rFonts w:ascii="Arial" w:hAnsi="Arial"/>
                <w:b/>
                <w:color w:val="059669"/>
                <w:sz w:val="19"/>
              </w:rPr>
              <w:t>Covered</w:t>
            </w:r>
          </w:p>
        </w:tc>
        <w:tc>
          <w:tcPr>
            <w:tcW w:type="dxa" w:w="3120"/>
            <w:tcMar>
              <w:top w:w="100" w:type="dxa"/>
              <w:bottom w:w="100" w:type="dxa"/>
              <w:left w:w="150" w:type="dxa"/>
              <w:right w:w="150" w:type="dxa"/>
            </w:tcMar>
          </w:tcPr>
          <w:p>
            <w:r>
              <w:rPr>
                <w:rFonts w:ascii="Arial" w:hAnsi="Arial"/>
                <w:sz w:val="19"/>
              </w:rPr>
              <w:t>Background sweeper runs every 30s to clean expired inventory records.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