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00897B"/>
          <w:sz w:val="26"/>
        </w:rPr>
        <w:t>DOTMappers IT Pvt. Ltd. | AI Engineer Assessment</w:t>
      </w:r>
    </w:p>
    <w:p>
      <w:pPr>
        <w:spacing w:after="80"/>
        <w:jc w:val="center"/>
      </w:pPr>
      <w:r>
        <w:rPr>
          <w:b/>
          <w:color w:val="102A4D"/>
          <w:sz w:val="44"/>
        </w:rPr>
        <w:t>ResolvIQ: AI Support Ticket Analytics Platform</w:t>
      </w:r>
    </w:p>
    <w:p>
      <w:pPr>
        <w:spacing w:after="320"/>
        <w:jc w:val="center"/>
      </w:pPr>
      <w:r>
        <w:rPr>
          <w:i/>
          <w:color w:val="374151"/>
          <w:sz w:val="22"/>
        </w:rPr>
        <w:t>End-to-End System Sprint | Formal Assessment Submission Report</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Pr>
          <w:p>
            <w:pPr>
              <w:spacing w:after="0"/>
            </w:pPr>
            <w:r>
              <w:rPr>
                <w:b/>
                <w:color w:val="00897B"/>
                <w:sz w:val="20"/>
              </w:rPr>
              <w:t>SUBMISSION METADATA &amp; SYSTEM SPECIFICATIONS</w:t>
              <w:br/>
            </w:r>
            <w:r>
              <w:rPr>
                <w:color w:val="1F2937"/>
                <w:sz w:val="19"/>
              </w:rPr>
              <w:t>• Candidate: Praveen Kumar (praveen-kumar-007)</w:t>
              <w:br/>
              <w:t>• Live Production URL: https://resolviqai.vercel.app/</w:t>
              <w:br/>
              <w:t>• Repository: https://github.com/praveen-kumar-007/ResolvIQ---AI-Intelligence-Platform-.git</w:t>
              <w:br/>
              <w:t>• Role: AI Engineer / AI Intern Assessment Submission</w:t>
              <w:br/>
              <w:t>• Organization: DOTMappers IT Pvt. Ltd.</w:t>
              <w:br/>
              <w:t>• Recipient: Mr. Rajath Kumar (HR Lead) | RajathKumar@dotmappers.in</w:t>
              <w:br/>
              <w:t>• CI/CD Pipeline: GitHub Actions matrix testing (Python 3.11 &amp; 3.12) + Docker health checks</w:t>
              <w:br/>
              <w:t>• 1-Command Docker Startup: docker compose up -d (Accessible at http://localhost:8000)</w:t>
              <w:br/>
              <w:t>• Multi-Tier LLM: Groq Cloud (llama-3.3-70b) + Ollama Local (qwen2.5 / qwen3) + Token-Limit Failover</w:t>
              <w:br/>
              <w:t>• Responsive Web UI: Cross-device glassmorphism dashboard (mobile &lt;=480px, tablet, laptop, desktop)</w:t>
              <w:br/>
              <w:t>• Test Verification: 39 Automated Test Cases Passed (100% Pass Rate)</w:t>
            </w:r>
          </w:p>
        </w:tc>
      </w:tr>
    </w:tbl>
    <w:p>
      <w:pPr>
        <w:spacing w:after="200"/>
      </w:pPr>
    </w:p>
    <w:p>
      <w:pPr>
        <w:spacing w:before="320" w:after="120"/>
      </w:pPr>
      <w:r>
        <w:rPr>
          <w:b/>
          <w:color w:val="102A4D"/>
          <w:sz w:val="28"/>
        </w:rPr>
        <w:t>1. Executive Summary &amp; Problem Alignment</w:t>
      </w:r>
    </w:p>
    <w:p>
      <w:pPr>
        <w:spacing w:after="80" w:line="276" w:lineRule="auto"/>
      </w:pPr>
      <w:r>
        <w:rPr>
          <w:color w:val="1F2937"/>
          <w:sz w:val="20"/>
        </w:rPr>
        <w:t>This project represents a complete, production-ready implementation fulfilling all four technical requirements specified in the DOTMappers assessment brief:</w:t>
      </w:r>
    </w:p>
    <w:p>
      <w:pPr>
        <w:spacing w:after="80" w:line="276" w:lineRule="auto"/>
      </w:pPr>
      <w:r>
        <w:rPr>
          <w:b/>
          <w:color w:val="1F2937"/>
          <w:sz w:val="20"/>
        </w:rPr>
        <w:t>1. Ingest CSV &amp; Queryability:</w:t>
      </w:r>
      <w:r>
        <w:rPr>
          <w:color w:val="1F2937"/>
          <w:sz w:val="20"/>
        </w:rPr>
        <w:t xml:space="preserve"> Normalizes raw telemetry from support_tickets.csv into a persistent SQLite database with B-Tree indexes across status, priority, category, agent_id, and created_at. Accurately handles null ratings and resolution times without synthetic imputation.</w:t>
      </w:r>
    </w:p>
    <w:p>
      <w:pPr>
        <w:spacing w:after="80" w:line="276" w:lineRule="auto"/>
      </w:pPr>
      <w:r>
        <w:rPr>
          <w:b/>
          <w:color w:val="1F2937"/>
          <w:sz w:val="20"/>
        </w:rPr>
        <w:t>2. Natural Language Anomaly &amp; Analytical Querying:</w:t>
      </w:r>
      <w:r>
        <w:rPr>
          <w:color w:val="1F2937"/>
          <w:sz w:val="20"/>
        </w:rPr>
        <w:t xml:space="preserve"> Translates arbitrary natural language queries into safe, structured JSON intents (QueryIntent) executed via parameterized SQL, providing complete immunity to SQL injection and zero hallucinations. Integrates multi-tier zero-cost LLMs (Groq cloud, Ollama local, and sub-5ms deterministic offline fallback).</w:t>
      </w:r>
    </w:p>
    <w:p>
      <w:pPr>
        <w:spacing w:after="80" w:line="276" w:lineRule="auto"/>
      </w:pPr>
      <w:r>
        <w:rPr>
          <w:b/>
          <w:color w:val="1F2937"/>
          <w:sz w:val="20"/>
        </w:rPr>
        <w:t>3. Multi-Engine Anomaly Detection:</w:t>
      </w:r>
      <w:r>
        <w:rPr>
          <w:color w:val="1F2937"/>
          <w:sz w:val="20"/>
        </w:rPr>
        <w:t xml:space="preserve"> Employs Tukey's Interquartile Range (IQR) outlier detection for resolution times, SLA age breach monitors (&gt;24h unresolved high/critical tickets), 95th-percentile response time tracking, and low customer satisfaction drops (&lt;=2/5).</w:t>
      </w:r>
    </w:p>
    <w:p>
      <w:pPr>
        <w:spacing w:after="80" w:line="276" w:lineRule="auto"/>
      </w:pPr>
      <w:r>
        <w:rPr>
          <w:b/>
          <w:color w:val="1F2937"/>
          <w:sz w:val="20"/>
        </w:rPr>
        <w:t>4. Dual Delivery (REST API + Web UI):</w:t>
      </w:r>
      <w:r>
        <w:rPr>
          <w:color w:val="1F2937"/>
          <w:sz w:val="20"/>
        </w:rPr>
        <w:t xml:space="preserve"> High-throughput REST API with OpenAPI Swagger UI (/docs) and a responsive, dark-mode glassmorphism web console featuring real-time KPI metrics, query console, anomaly scanner, and paginated ticket explorer.</w:t>
      </w:r>
    </w:p>
    <w:p>
      <w:pPr>
        <w:spacing w:after="80" w:line="276" w:lineRule="auto"/>
      </w:pPr>
      <w:r>
        <w:rPr>
          <w:b/>
          <w:color w:val="1F2937"/>
          <w:sz w:val="20"/>
        </w:rPr>
        <w:t>5. Production Docker &amp; Cloud Serverless:</w:t>
      </w:r>
      <w:r>
        <w:rPr>
          <w:color w:val="1F2937"/>
          <w:sz w:val="20"/>
        </w:rPr>
        <w:t xml:space="preserve"> Enterprise-hardened with production Dockerfile (non-root resolviq user, security headers), docker-compose.yml with persistent SQLite volume and health checks, and Vercel serverless deployment support via api/index.py.</w:t>
      </w:r>
    </w:p>
    <w:p>
      <w:pPr>
        <w:spacing w:after="80" w:line="276" w:lineRule="auto"/>
      </w:pPr>
      <w:r>
        <w:rPr>
          <w:b/>
          <w:color w:val="1F2937"/>
          <w:sz w:val="20"/>
        </w:rPr>
        <w:t>6. Automated CI/CD Pipeline:</w:t>
      </w:r>
      <w:r>
        <w:rPr>
          <w:color w:val="1F2937"/>
          <w:sz w:val="20"/>
        </w:rPr>
        <w:t xml:space="preserve"> Automated GitHub Actions workflow (.github/workflows/ci-cd.yml) running matrix Pytest tests on Python 3.11 &amp; 3.12, followed by automated Docker container build and live healthcheck verification.</w:t>
      </w:r>
    </w:p>
    <w:p>
      <w:pPr>
        <w:spacing w:before="320" w:after="120"/>
      </w:pPr>
      <w:r>
        <w:rPr>
          <w:b/>
          <w:color w:val="102A4D"/>
          <w:sz w:val="28"/>
        </w:rPr>
        <w:t>2. Verified Assessment Answers &amp; Query Catalog</w:t>
      </w:r>
    </w:p>
    <w:p>
      <w:pPr>
        <w:spacing w:after="80" w:line="276" w:lineRule="auto"/>
      </w:pPr>
      <w:r>
        <w:rPr>
          <w:color w:val="1F2937"/>
          <w:sz w:val="20"/>
        </w:rPr>
        <w:t>Below are the verified numerical answers, executed SQL queries, and operational analyses for questions from the brief:</w:t>
      </w:r>
    </w:p>
    <w:p>
      <w:pPr>
        <w:spacing w:before="200" w:after="60"/>
      </w:pPr>
      <w:r>
        <w:rPr>
          <w:b/>
          <w:color w:val="00897B"/>
          <w:sz w:val="23"/>
        </w:rPr>
        <w:t>Section 2: Problem Statement Queries</w:t>
      </w:r>
    </w:p>
    <w:p>
      <w:pPr>
        <w:spacing w:after="80" w:line="276" w:lineRule="auto"/>
      </w:pPr>
      <w:r>
        <w:rPr>
          <w:b/>
          <w:color w:val="1F2937"/>
          <w:sz w:val="20"/>
        </w:rPr>
        <w:t xml:space="preserve">Q1: How many critical tickets are unresolved? -&gt; </w:t>
      </w:r>
      <w:r>
        <w:rPr>
          <w:color w:val="1F2937"/>
          <w:sz w:val="20"/>
        </w:rPr>
        <w:t xml:space="preserve"> 31 tickets (out of 55 total Critical tickets, 56.4% remain unresolved in Open or Escalated status).</w:t>
        <w:br/>
        <w:t>• Executed SQL: SELECT COUNT(*) FROM support_tickets WHERE priority = 'Critical' AND status != 'Resolved';</w:t>
        <w:br/>
        <w:t>• Execution Latency: 0.9 ms | Parameters: ['Critical', 'Resolved']</w:t>
      </w:r>
    </w:p>
    <w:p>
      <w:pPr>
        <w:spacing w:after="80" w:line="276" w:lineRule="auto"/>
      </w:pPr>
      <w:r>
        <w:rPr>
          <w:b/>
          <w:color w:val="1F2937"/>
          <w:sz w:val="20"/>
        </w:rPr>
        <w:t xml:space="preserve">Q2: Which agent has the lowest average customer rating? -&gt; </w:t>
      </w:r>
      <w:r>
        <w:rPr>
          <w:color w:val="1F2937"/>
          <w:sz w:val="20"/>
        </w:rPr>
        <w:t xml:space="preserve"> Agent AGT-08 with an average rating of 3.48 / 5.0 across 25 rated tickets (team average is 4.02).</w:t>
        <w:br/>
        <w:t>• Executed SQL: SELECT agent_id, ROUND(AVG(customer_rating), 2) AS agg_val FROM support_tickets WHERE customer_rating IS NOT NULL GROUP BY agent_id ORDER BY agg_val ASC LIMIT 1;</w:t>
        <w:br/>
        <w:t>• Execution Latency: 1.4 ms | Operational Action: Primary candidate for customer satisfaction coaching.</w:t>
      </w:r>
    </w:p>
    <w:p>
      <w:pPr>
        <w:spacing w:before="200" w:after="60"/>
      </w:pPr>
      <w:r>
        <w:rPr>
          <w:b/>
          <w:color w:val="00897B"/>
          <w:sz w:val="23"/>
        </w:rPr>
        <w:t>Section 9: Indicative Walkthrough Sample Queries</w:t>
      </w:r>
    </w:p>
    <w:p>
      <w:pPr>
        <w:spacing w:after="80" w:line="276" w:lineRule="auto"/>
      </w:pPr>
      <w:r>
        <w:rPr>
          <w:b/>
          <w:color w:val="1F2937"/>
          <w:sz w:val="20"/>
        </w:rPr>
        <w:t xml:space="preserve">Query 1: How many tickets are currently open? -&gt; </w:t>
      </w:r>
      <w:r>
        <w:rPr>
          <w:color w:val="1F2937"/>
          <w:sz w:val="20"/>
        </w:rPr>
        <w:t xml:space="preserve"> 111 tickets (22.2% of total dataset).</w:t>
        <w:br/>
        <w:t>• Executed SQL: SELECT COUNT(*) FROM support_tickets WHERE status = 'Open'; (Latency: 1.1 ms)</w:t>
      </w:r>
    </w:p>
    <w:p>
      <w:pPr>
        <w:spacing w:after="80" w:line="276" w:lineRule="auto"/>
      </w:pPr>
      <w:r>
        <w:rPr>
          <w:b/>
          <w:color w:val="1F2937"/>
          <w:sz w:val="20"/>
        </w:rPr>
        <w:t xml:space="preserve">Query 2: Which agent resolved the most tickets this month? -&gt; </w:t>
      </w:r>
      <w:r>
        <w:rPr>
          <w:color w:val="1F2937"/>
          <w:sz w:val="20"/>
        </w:rPr>
        <w:t xml:space="preserve"> AGT-12 and AGT-09 share the top rank across the Q1 dataset with 37 resolved tickets each (AGT-12 resolved 14 in March).</w:t>
        <w:br/>
        <w:t>• Executed SQL: SELECT agent_id, COUNT(*) AS agg_val FROM support_tickets WHERE status = 'Resolved' GROUP BY agent_id ORDER BY agg_val DESC LIMIT 3; (Latency: 1.5 ms)</w:t>
      </w:r>
    </w:p>
    <w:p>
      <w:pPr>
        <w:spacing w:after="80" w:line="276" w:lineRule="auto"/>
      </w:pPr>
      <w:r>
        <w:rPr>
          <w:b/>
          <w:color w:val="1F2937"/>
          <w:sz w:val="20"/>
        </w:rPr>
        <w:t xml:space="preserve">Query 3: Show me all Critical tickets not resolved within 12 hours -&gt; </w:t>
      </w:r>
      <w:r>
        <w:rPr>
          <w:color w:val="1F2937"/>
          <w:sz w:val="20"/>
        </w:rPr>
        <w:t xml:space="preserve"> 3 tickets found: TKT-002 (18.5h, Escalated, AGT-07), TKT-144 (16.8h, Resolved, AGT-01), TKT-289 (14.1h, Resolved, AGT-05).</w:t>
        <w:br/>
        <w:t>• Executed SQL: SELECT * FROM support_tickets WHERE priority = 'Critical' AND resolution_time_hrs &gt; 12.0 ORDER BY resolution_time_hrs DESC; (Latency: 1.8 ms)</w:t>
      </w:r>
    </w:p>
    <w:p>
      <w:pPr>
        <w:spacing w:after="80" w:line="276" w:lineRule="auto"/>
      </w:pPr>
      <w:r>
        <w:rPr>
          <w:b/>
          <w:color w:val="1F2937"/>
          <w:sz w:val="20"/>
        </w:rPr>
        <w:t xml:space="preserve">Query 4: What is the average customer rating for Technical tickets? -&gt; </w:t>
      </w:r>
      <w:r>
        <w:rPr>
          <w:color w:val="1F2937"/>
          <w:sz w:val="20"/>
        </w:rPr>
        <w:t xml:space="preserve"> 3.74 / 5.0 (calculated over 104 qualifying resolved records; General tickets avg 4.18, Billing avg 4.06).</w:t>
        <w:br/>
        <w:t>• Executed SQL: SELECT ROUND(AVG(customer_rating), 2) FROM support_tickets WHERE category = 'Technical' AND customer_rating IS NOT NULL; (Latency: 1.0 ms)</w:t>
      </w:r>
    </w:p>
    <w:p>
      <w:pPr>
        <w:spacing w:after="80" w:line="276" w:lineRule="auto"/>
      </w:pPr>
      <w:r>
        <w:rPr>
          <w:b/>
          <w:color w:val="1F2937"/>
          <w:sz w:val="20"/>
        </w:rPr>
        <w:t xml:space="preserve">Query 5: Are there any anomalies in resolution times this week? -&gt; </w:t>
      </w:r>
      <w:r>
        <w:rPr>
          <w:color w:val="1F2937"/>
          <w:sz w:val="20"/>
        </w:rPr>
        <w:t xml:space="preserve"> 21 tickets exceed the statistical upper threshold (48.35 hours). The most severe anomaly is TKT-108 at 119.7 hours.</w:t>
        <w:br/>
        <w:t>• Executed SQL: SELECT * FROM support_tickets WHERE resolution_time_hrs &gt; 48.35 ORDER BY resolution_time_hrs DESC; (Latency: 1.6 ms)</w:t>
      </w:r>
    </w:p>
    <w:p>
      <w:pPr>
        <w:spacing w:before="320" w:after="120"/>
      </w:pPr>
      <w:r>
        <w:rPr>
          <w:b/>
          <w:color w:val="102A4D"/>
          <w:sz w:val="28"/>
        </w:rPr>
        <w:t>3. Statistical Anomaly Detection Methodology</w:t>
      </w:r>
    </w:p>
    <w:p>
      <w:pPr>
        <w:spacing w:after="80" w:line="276" w:lineRule="auto"/>
      </w:pPr>
      <w:r>
        <w:rPr>
          <w:color w:val="1F2937"/>
          <w:sz w:val="20"/>
        </w:rPr>
        <w:t>The system applies statistical and operational heuristics across four dimensions:</w:t>
      </w:r>
    </w:p>
    <w:tbl>
      <w:tblPr>
        <w:tblW w:type="auto" w:w="0"/>
        <w:jc w:val="center"/>
        <w:tblLook w:firstColumn="1" w:firstRow="1" w:lastColumn="0" w:lastRow="0" w:noHBand="0" w:noVBand="1" w:val="04A0"/>
      </w:tblPr>
      <w:tblGrid>
        <w:gridCol w:w="2484"/>
        <w:gridCol w:w="2484"/>
        <w:gridCol w:w="2484"/>
        <w:gridCol w:w="2484"/>
      </w:tblGrid>
      <w:tr>
        <w:tc>
          <w:tcPr>
            <w:tcW w:type="dxa" w:w="2484"/>
            <w:shd w:fill="102A4D"/>
          </w:tcPr>
          <w:p>
            <w:r>
              <w:rPr>
                <w:b/>
                <w:color w:val="FFFFFF"/>
                <w:sz w:val="19"/>
              </w:rPr>
              <w:t>Anomaly Engine</w:t>
            </w:r>
          </w:p>
        </w:tc>
        <w:tc>
          <w:tcPr>
            <w:tcW w:type="dxa" w:w="2484"/>
            <w:shd w:fill="102A4D"/>
          </w:tcPr>
          <w:p>
            <w:r>
              <w:rPr>
                <w:b/>
                <w:color w:val="FFFFFF"/>
                <w:sz w:val="19"/>
              </w:rPr>
              <w:t>Target Field</w:t>
            </w:r>
          </w:p>
        </w:tc>
        <w:tc>
          <w:tcPr>
            <w:tcW w:type="dxa" w:w="2484"/>
            <w:shd w:fill="102A4D"/>
          </w:tcPr>
          <w:p>
            <w:r>
              <w:rPr>
                <w:b/>
                <w:color w:val="FFFFFF"/>
                <w:sz w:val="19"/>
              </w:rPr>
              <w:t>Statistical Threshold &amp; Formula</w:t>
            </w:r>
          </w:p>
        </w:tc>
        <w:tc>
          <w:tcPr>
            <w:tcW w:type="dxa" w:w="2484"/>
            <w:shd w:fill="102A4D"/>
          </w:tcPr>
          <w:p>
            <w:r>
              <w:rPr>
                <w:b/>
                <w:color w:val="FFFFFF"/>
                <w:sz w:val="19"/>
              </w:rPr>
              <w:t>Severity</w:t>
            </w:r>
          </w:p>
        </w:tc>
      </w:tr>
      <w:tr>
        <w:tc>
          <w:tcPr>
            <w:tcW w:type="dxa" w:w="2484"/>
            <w:shd w:fill="F9FAFB"/>
            <w:tcMar>
              <w:top w:w="60" w:type="dxa"/>
              <w:bottom w:w="60" w:type="dxa"/>
              <w:left w:w="100" w:type="dxa"/>
              <w:right w:w="100" w:type="dxa"/>
            </w:tcMar>
          </w:tcPr>
          <w:p>
            <w:pPr>
              <w:spacing w:after="0"/>
            </w:pPr>
            <w:r>
              <w:rPr>
                <w:color w:val="1F2937"/>
                <w:sz w:val="17"/>
              </w:rPr>
              <w:t>Resolution Outliers</w:t>
            </w:r>
          </w:p>
        </w:tc>
        <w:tc>
          <w:tcPr>
            <w:tcW w:type="dxa" w:w="2484"/>
            <w:shd w:fill="F9FAFB"/>
            <w:tcMar>
              <w:top w:w="60" w:type="dxa"/>
              <w:bottom w:w="60" w:type="dxa"/>
              <w:left w:w="100" w:type="dxa"/>
              <w:right w:w="100" w:type="dxa"/>
            </w:tcMar>
          </w:tcPr>
          <w:p>
            <w:pPr>
              <w:spacing w:after="0"/>
            </w:pPr>
            <w:r>
              <w:rPr>
                <w:color w:val="1F2937"/>
                <w:sz w:val="17"/>
              </w:rPr>
              <w:t>resolution_time_hrs</w:t>
            </w:r>
          </w:p>
        </w:tc>
        <w:tc>
          <w:tcPr>
            <w:tcW w:type="dxa" w:w="2484"/>
            <w:shd w:fill="F9FAFB"/>
            <w:tcMar>
              <w:top w:w="60" w:type="dxa"/>
              <w:bottom w:w="60" w:type="dxa"/>
              <w:left w:w="100" w:type="dxa"/>
              <w:right w:w="100" w:type="dxa"/>
            </w:tcMar>
          </w:tcPr>
          <w:p>
            <w:pPr>
              <w:spacing w:after="0"/>
            </w:pPr>
            <w:r>
              <w:rPr>
                <w:color w:val="1F2937"/>
                <w:sz w:val="17"/>
              </w:rPr>
              <w:t>Tukey IQR: Q1=8.10h, Q3=24.20h, IQR=16.10h</w:t>
              <w:br/>
              <w:t>Upper: Q3 + 1.5*IQR = 48.35h</w:t>
              <w:br/>
              <w:t>Extreme: Q3 + 3.0*IQR = 87.20h</w:t>
            </w:r>
          </w:p>
        </w:tc>
        <w:tc>
          <w:tcPr>
            <w:tcW w:type="dxa" w:w="2484"/>
            <w:shd w:fill="F9FAFB"/>
            <w:tcMar>
              <w:top w:w="60" w:type="dxa"/>
              <w:bottom w:w="60" w:type="dxa"/>
              <w:left w:w="100" w:type="dxa"/>
              <w:right w:w="100" w:type="dxa"/>
            </w:tcMar>
          </w:tcPr>
          <w:p>
            <w:pPr>
              <w:spacing w:after="0"/>
            </w:pPr>
            <w:r>
              <w:rPr>
                <w:color w:val="1F2937"/>
                <w:sz w:val="17"/>
              </w:rPr>
              <w:t>Critical (&gt;=87.2h)</w:t>
              <w:br/>
              <w:t>High (&gt;=48.35h)</w:t>
            </w:r>
          </w:p>
        </w:tc>
      </w:tr>
      <w:tr>
        <w:tc>
          <w:tcPr>
            <w:tcW w:type="dxa" w:w="2484"/>
            <w:shd w:fill="FFFFFF"/>
            <w:tcMar>
              <w:top w:w="60" w:type="dxa"/>
              <w:bottom w:w="60" w:type="dxa"/>
              <w:left w:w="100" w:type="dxa"/>
              <w:right w:w="100" w:type="dxa"/>
            </w:tcMar>
          </w:tcPr>
          <w:p>
            <w:pPr>
              <w:spacing w:after="0"/>
            </w:pPr>
            <w:r>
              <w:rPr>
                <w:color w:val="1F2937"/>
                <w:sz w:val="17"/>
              </w:rPr>
              <w:t>SLA Age Breach</w:t>
            </w:r>
          </w:p>
        </w:tc>
        <w:tc>
          <w:tcPr>
            <w:tcW w:type="dxa" w:w="2484"/>
            <w:shd w:fill="FFFFFF"/>
            <w:tcMar>
              <w:top w:w="60" w:type="dxa"/>
              <w:bottom w:w="60" w:type="dxa"/>
              <w:left w:w="100" w:type="dxa"/>
              <w:right w:w="100" w:type="dxa"/>
            </w:tcMar>
          </w:tcPr>
          <w:p>
            <w:pPr>
              <w:spacing w:after="0"/>
            </w:pPr>
            <w:r>
              <w:rPr>
                <w:color w:val="1F2937"/>
                <w:sz w:val="17"/>
              </w:rPr>
              <w:t>created_at &amp; status</w:t>
            </w:r>
          </w:p>
        </w:tc>
        <w:tc>
          <w:tcPr>
            <w:tcW w:type="dxa" w:w="2484"/>
            <w:shd w:fill="FFFFFF"/>
            <w:tcMar>
              <w:top w:w="60" w:type="dxa"/>
              <w:bottom w:w="60" w:type="dxa"/>
              <w:left w:w="100" w:type="dxa"/>
              <w:right w:w="100" w:type="dxa"/>
            </w:tcMar>
          </w:tcPr>
          <w:p>
            <w:pPr>
              <w:spacing w:after="0"/>
            </w:pPr>
            <w:r>
              <w:rPr>
                <w:color w:val="1F2937"/>
                <w:sz w:val="17"/>
              </w:rPr>
              <w:t>Age = (Current Time - created_at) &gt; 24h</w:t>
              <w:br/>
              <w:t>Condition: priority IN ('High', 'Critical') AND status != 'Resolved'</w:t>
            </w:r>
          </w:p>
        </w:tc>
        <w:tc>
          <w:tcPr>
            <w:tcW w:type="dxa" w:w="2484"/>
            <w:shd w:fill="FFFFFF"/>
            <w:tcMar>
              <w:top w:w="60" w:type="dxa"/>
              <w:bottom w:w="60" w:type="dxa"/>
              <w:left w:w="100" w:type="dxa"/>
              <w:right w:w="100" w:type="dxa"/>
            </w:tcMar>
          </w:tcPr>
          <w:p>
            <w:pPr>
              <w:spacing w:after="0"/>
            </w:pPr>
            <w:r>
              <w:rPr>
                <w:color w:val="1F2937"/>
                <w:sz w:val="17"/>
              </w:rPr>
              <w:t>Critical (Critical prio)</w:t>
              <w:br/>
              <w:t>High (High prio)</w:t>
            </w:r>
          </w:p>
        </w:tc>
      </w:tr>
      <w:tr>
        <w:tc>
          <w:tcPr>
            <w:tcW w:type="dxa" w:w="2484"/>
            <w:shd w:fill="F9FAFB"/>
            <w:tcMar>
              <w:top w:w="60" w:type="dxa"/>
              <w:bottom w:w="60" w:type="dxa"/>
              <w:left w:w="100" w:type="dxa"/>
              <w:right w:w="100" w:type="dxa"/>
            </w:tcMar>
          </w:tcPr>
          <w:p>
            <w:pPr>
              <w:spacing w:after="0"/>
            </w:pPr>
            <w:r>
              <w:rPr>
                <w:color w:val="1F2937"/>
                <w:sz w:val="17"/>
              </w:rPr>
              <w:t>Slow Response Time</w:t>
            </w:r>
          </w:p>
        </w:tc>
        <w:tc>
          <w:tcPr>
            <w:tcW w:type="dxa" w:w="2484"/>
            <w:shd w:fill="F9FAFB"/>
            <w:tcMar>
              <w:top w:w="60" w:type="dxa"/>
              <w:bottom w:w="60" w:type="dxa"/>
              <w:left w:w="100" w:type="dxa"/>
              <w:right w:w="100" w:type="dxa"/>
            </w:tcMar>
          </w:tcPr>
          <w:p>
            <w:pPr>
              <w:spacing w:after="0"/>
            </w:pPr>
            <w:r>
              <w:rPr>
                <w:color w:val="1F2937"/>
                <w:sz w:val="17"/>
              </w:rPr>
              <w:t>response_time_hrs</w:t>
            </w:r>
          </w:p>
        </w:tc>
        <w:tc>
          <w:tcPr>
            <w:tcW w:type="dxa" w:w="2484"/>
            <w:shd w:fill="F9FAFB"/>
            <w:tcMar>
              <w:top w:w="60" w:type="dxa"/>
              <w:bottom w:w="60" w:type="dxa"/>
              <w:left w:w="100" w:type="dxa"/>
              <w:right w:w="100" w:type="dxa"/>
            </w:tcMar>
          </w:tcPr>
          <w:p>
            <w:pPr>
              <w:spacing w:after="0"/>
            </w:pPr>
            <w:r>
              <w:rPr>
                <w:color w:val="1F2937"/>
                <w:sz w:val="17"/>
              </w:rPr>
              <w:t>95th Percentile (P95) thresholding across dataset: Value &gt;= 4.10 hours</w:t>
            </w:r>
          </w:p>
        </w:tc>
        <w:tc>
          <w:tcPr>
            <w:tcW w:type="dxa" w:w="2484"/>
            <w:shd w:fill="F9FAFB"/>
            <w:tcMar>
              <w:top w:w="60" w:type="dxa"/>
              <w:bottom w:w="60" w:type="dxa"/>
              <w:left w:w="100" w:type="dxa"/>
              <w:right w:w="100" w:type="dxa"/>
            </w:tcMar>
          </w:tcPr>
          <w:p>
            <w:pPr>
              <w:spacing w:after="0"/>
            </w:pPr>
            <w:r>
              <w:rPr>
                <w:color w:val="1F2937"/>
                <w:sz w:val="17"/>
              </w:rPr>
              <w:t>Medium (Initial triaging bottleneck)</w:t>
            </w:r>
          </w:p>
        </w:tc>
      </w:tr>
      <w:tr>
        <w:tc>
          <w:tcPr>
            <w:tcW w:type="dxa" w:w="2484"/>
            <w:shd w:fill="FFFFFF"/>
            <w:tcMar>
              <w:top w:w="60" w:type="dxa"/>
              <w:bottom w:w="60" w:type="dxa"/>
              <w:left w:w="100" w:type="dxa"/>
              <w:right w:w="100" w:type="dxa"/>
            </w:tcMar>
          </w:tcPr>
          <w:p>
            <w:pPr>
              <w:spacing w:after="0"/>
            </w:pPr>
            <w:r>
              <w:rPr>
                <w:color w:val="1F2937"/>
                <w:sz w:val="17"/>
              </w:rPr>
              <w:t>Satisfaction Drop</w:t>
            </w:r>
          </w:p>
        </w:tc>
        <w:tc>
          <w:tcPr>
            <w:tcW w:type="dxa" w:w="2484"/>
            <w:shd w:fill="FFFFFF"/>
            <w:tcMar>
              <w:top w:w="60" w:type="dxa"/>
              <w:bottom w:w="60" w:type="dxa"/>
              <w:left w:w="100" w:type="dxa"/>
              <w:right w:w="100" w:type="dxa"/>
            </w:tcMar>
          </w:tcPr>
          <w:p>
            <w:pPr>
              <w:spacing w:after="0"/>
            </w:pPr>
            <w:r>
              <w:rPr>
                <w:color w:val="1F2937"/>
                <w:sz w:val="17"/>
              </w:rPr>
              <w:t>customer_rating</w:t>
            </w:r>
          </w:p>
        </w:tc>
        <w:tc>
          <w:tcPr>
            <w:tcW w:type="dxa" w:w="2484"/>
            <w:shd w:fill="FFFFFF"/>
            <w:tcMar>
              <w:top w:w="60" w:type="dxa"/>
              <w:bottom w:w="60" w:type="dxa"/>
              <w:left w:w="100" w:type="dxa"/>
              <w:right w:w="100" w:type="dxa"/>
            </w:tcMar>
          </w:tcPr>
          <w:p>
            <w:pPr>
              <w:spacing w:after="0"/>
            </w:pPr>
            <w:r>
              <w:rPr>
                <w:color w:val="1F2937"/>
                <w:sz w:val="17"/>
              </w:rPr>
              <w:t>Post-resolution rating floor: customer_rating &lt;= 2 out of 5</w:t>
            </w:r>
          </w:p>
        </w:tc>
        <w:tc>
          <w:tcPr>
            <w:tcW w:type="dxa" w:w="2484"/>
            <w:shd w:fill="FFFFFF"/>
            <w:tcMar>
              <w:top w:w="60" w:type="dxa"/>
              <w:bottom w:w="60" w:type="dxa"/>
              <w:left w:w="100" w:type="dxa"/>
              <w:right w:w="100" w:type="dxa"/>
            </w:tcMar>
          </w:tcPr>
          <w:p>
            <w:pPr>
              <w:spacing w:after="0"/>
            </w:pPr>
            <w:r>
              <w:rPr>
                <w:color w:val="1F2937"/>
                <w:sz w:val="17"/>
              </w:rPr>
              <w:t>High (Rating 1)</w:t>
              <w:br/>
              <w:t>Medium (Rating 2)</w:t>
            </w:r>
          </w:p>
        </w:tc>
      </w:tr>
    </w:tbl>
    <w:p>
      <w:pPr>
        <w:spacing w:after="120"/>
      </w:pPr>
    </w:p>
    <w:p>
      <w:pPr>
        <w:spacing w:before="320" w:after="120"/>
      </w:pPr>
      <w:r>
        <w:rPr>
          <w:b/>
          <w:color w:val="102A4D"/>
          <w:sz w:val="28"/>
        </w:rPr>
        <w:t>4. Architecture, Groq/Ollama Failover &amp; CI/CD Design</w:t>
      </w:r>
    </w:p>
    <w:p>
      <w:pPr>
        <w:spacing w:before="200" w:after="60"/>
      </w:pPr>
      <w:r>
        <w:rPr>
          <w:b/>
          <w:color w:val="00897B"/>
          <w:sz w:val="23"/>
        </w:rPr>
        <w:t>Structured JSON Intent vs. Direct Raw Text-to-SQL</w:t>
      </w:r>
    </w:p>
    <w:p>
      <w:pPr>
        <w:spacing w:after="80" w:line="276" w:lineRule="auto"/>
      </w:pPr>
      <w:r>
        <w:rPr>
          <w:color w:val="1F2937"/>
          <w:sz w:val="20"/>
        </w:rPr>
        <w:t>Direct text-to-SQL generation exposes production backends to SQL injection vulnerabilities and hallucinations (e.g. inventing non-existent columns like customer_email or cost). ResolvIQ introduces a Pydantic QueryIntent validation boundary: the LLM is restricted to emitting typed filter specifications, column names are checked against an AllowedColumn enum whitelist, and the QueryExecutor compiles this into parameterized SQLite queries with bind parameters (?). Mathematical operations are executed at C-speed in SQLite, guaranteeing deterministic accuracy and zero security exposure.</w:t>
      </w:r>
    </w:p>
    <w:p>
      <w:pPr>
        <w:spacing w:before="200" w:after="60"/>
      </w:pPr>
      <w:r>
        <w:rPr>
          <w:b/>
          <w:color w:val="00897B"/>
          <w:sz w:val="23"/>
        </w:rPr>
        <w:t>Multi-Tier Zero-Cost LLM with Token-Limit Failover</w:t>
      </w:r>
    </w:p>
    <w:p>
      <w:pPr>
        <w:spacing w:after="80" w:line="276" w:lineRule="auto"/>
      </w:pPr>
      <w:r>
        <w:rPr>
          <w:color w:val="1F2937"/>
          <w:sz w:val="20"/>
        </w:rPr>
        <w:t>ResolvIQ integrates Groq Cloud (llama-3.3-70b-versatile) for ultra-fast cloud inference (~100-300ms) and local Ollama (qwen2.5:7b / qwen3:8b) for 100% private, offline execution. When Groq reaches free-tier rate limits (HTTP 429) or token limits (HTTP 413), ResolvIQ automatically falls back to local Ollama (or the deterministic AST engine), surfacing a transparent notice to the user. Evaluators can configure their preferred mode via .env (LLM_PROVIDER=ollama or LLM_PROVIDER=groq).</w:t>
      </w:r>
    </w:p>
    <w:p>
      <w:pPr>
        <w:spacing w:before="200" w:after="60"/>
      </w:pPr>
      <w:r>
        <w:rPr>
          <w:b/>
          <w:color w:val="00897B"/>
          <w:sz w:val="23"/>
        </w:rPr>
        <w:t>Automated CI/CD Pipeline (GitHub Actions)</w:t>
      </w:r>
    </w:p>
    <w:p>
      <w:pPr>
        <w:spacing w:after="80" w:line="276" w:lineRule="auto"/>
      </w:pPr>
      <w:r>
        <w:rPr>
          <w:color w:val="1F2937"/>
          <w:sz w:val="20"/>
        </w:rPr>
        <w:t>The project includes an enterprise-grade CI/CD pipeline (.github/workflows/ci-cd.yml) that executes on every push and pull request. It runs a matrix test across Python 3.11 and 3.12 with full duration profiling (pytest -v --durations=0), followed by an automated Docker build and live healthcheck verification (curl http://localhost:8000/health) before approving the build.</w:t>
      </w:r>
    </w:p>
    <w:p>
      <w:pPr>
        <w:spacing w:before="200" w:after="60"/>
      </w:pPr>
      <w:r>
        <w:rPr>
          <w:b/>
          <w:color w:val="00897B"/>
          <w:sz w:val="23"/>
        </w:rPr>
        <w:t>Universal Responsive Design Across All Devices</w:t>
      </w:r>
    </w:p>
    <w:p>
      <w:pPr>
        <w:spacing w:after="80" w:line="276" w:lineRule="auto"/>
      </w:pPr>
      <w:r>
        <w:rPr>
          <w:color w:val="1F2937"/>
          <w:sz w:val="20"/>
        </w:rPr>
        <w:t>The Web UI is fully responsive across mobile phones (&lt;=480px), small tablets (&lt;=768px), laptops (&lt;=1024px), and desktop displays (&gt;1024px). Layouts gracefully adapt using modern CSS grid and flexbox, featuring horizontal table scrolling, touch-optimized typography, and fluid KPI cards.</w:t>
      </w:r>
    </w:p>
    <w:p>
      <w:pPr>
        <w:spacing w:before="320" w:after="120"/>
      </w:pPr>
      <w:r>
        <w:rPr>
          <w:b/>
          <w:color w:val="102A4D"/>
          <w:sz w:val="28"/>
        </w:rPr>
        <w:t>5. Automated Test Suite Results (39/39 Passed)</w:t>
      </w:r>
    </w:p>
    <w:p>
      <w:pPr>
        <w:spacing w:after="80" w:line="276" w:lineRule="auto"/>
      </w:pPr>
      <w:r>
        <w:rPr>
          <w:color w:val="1F2937"/>
          <w:sz w:val="20"/>
        </w:rPr>
        <w:t>The system has been rigorously validated with 39 automated Pytest test cases covering API endpoints, data ingestion, null handling, SQL injection defense, and all Section 9 sample queries. Result: 100% passing.</w:t>
      </w:r>
    </w:p>
    <w:tbl>
      <w:tblPr>
        <w:tblW w:type="auto" w:w="0"/>
        <w:jc w:val="center"/>
        <w:tblLook w:firstColumn="1" w:firstRow="1" w:lastColumn="0" w:lastRow="0" w:noHBand="0" w:noVBand="1" w:val="04A0"/>
      </w:tblPr>
      <w:tblGrid>
        <w:gridCol w:w="2484"/>
        <w:gridCol w:w="2484"/>
        <w:gridCol w:w="2484"/>
        <w:gridCol w:w="2484"/>
      </w:tblGrid>
      <w:tr>
        <w:tc>
          <w:tcPr>
            <w:tcW w:type="dxa" w:w="2484"/>
            <w:shd w:fill="102A4D"/>
          </w:tcPr>
          <w:p>
            <w:r>
              <w:rPr>
                <w:b/>
                <w:color w:val="FFFFFF"/>
                <w:sz w:val="19"/>
              </w:rPr>
              <w:t>Test Module</w:t>
            </w:r>
          </w:p>
        </w:tc>
        <w:tc>
          <w:tcPr>
            <w:tcW w:type="dxa" w:w="2484"/>
            <w:shd w:fill="102A4D"/>
          </w:tcPr>
          <w:p>
            <w:r>
              <w:rPr>
                <w:b/>
                <w:color w:val="FFFFFF"/>
                <w:sz w:val="19"/>
              </w:rPr>
              <w:t>Focus Area</w:t>
            </w:r>
          </w:p>
        </w:tc>
        <w:tc>
          <w:tcPr>
            <w:tcW w:type="dxa" w:w="2484"/>
            <w:shd w:fill="102A4D"/>
          </w:tcPr>
          <w:p>
            <w:r>
              <w:rPr>
                <w:b/>
                <w:color w:val="FFFFFF"/>
                <w:sz w:val="19"/>
              </w:rPr>
              <w:t>Test Count</w:t>
            </w:r>
          </w:p>
        </w:tc>
        <w:tc>
          <w:tcPr>
            <w:tcW w:type="dxa" w:w="2484"/>
            <w:shd w:fill="102A4D"/>
          </w:tcPr>
          <w:p>
            <w:r>
              <w:rPr>
                <w:b/>
                <w:color w:val="FFFFFF"/>
                <w:sz w:val="19"/>
              </w:rPr>
              <w:t>Status</w:t>
            </w:r>
          </w:p>
        </w:tc>
      </w:tr>
      <w:tr>
        <w:tc>
          <w:tcPr>
            <w:tcW w:type="dxa" w:w="2484"/>
            <w:shd w:fill="F9FAFB"/>
            <w:tcMar>
              <w:top w:w="50" w:type="dxa"/>
              <w:bottom w:w="50" w:type="dxa"/>
              <w:left w:w="80" w:type="dxa"/>
              <w:right w:w="80" w:type="dxa"/>
            </w:tcMar>
          </w:tcPr>
          <w:p>
            <w:pPr>
              <w:spacing w:after="0"/>
            </w:pPr>
            <w:r>
              <w:rPr>
                <w:color w:val="1F2937"/>
                <w:sz w:val="17"/>
              </w:rPr>
              <w:t>test_sample_queries.py</w:t>
            </w:r>
          </w:p>
        </w:tc>
        <w:tc>
          <w:tcPr>
            <w:tcW w:type="dxa" w:w="2484"/>
            <w:shd w:fill="F9FAFB"/>
            <w:tcMar>
              <w:top w:w="50" w:type="dxa"/>
              <w:bottom w:w="50" w:type="dxa"/>
              <w:left w:w="80" w:type="dxa"/>
              <w:right w:w="80" w:type="dxa"/>
            </w:tcMar>
          </w:tcPr>
          <w:p>
            <w:pPr>
              <w:spacing w:after="0"/>
            </w:pPr>
            <w:r>
              <w:rPr>
                <w:color w:val="1F2937"/>
                <w:sz w:val="17"/>
              </w:rPr>
              <w:t>Section 9 mandatory queries (open, top agent, 12h critical, etc.)</w:t>
            </w:r>
          </w:p>
        </w:tc>
        <w:tc>
          <w:tcPr>
            <w:tcW w:type="dxa" w:w="2484"/>
            <w:shd w:fill="F9FAFB"/>
            <w:tcMar>
              <w:top w:w="50" w:type="dxa"/>
              <w:bottom w:w="50" w:type="dxa"/>
              <w:left w:w="80" w:type="dxa"/>
              <w:right w:w="80" w:type="dxa"/>
            </w:tcMar>
          </w:tcPr>
          <w:p>
            <w:pPr>
              <w:spacing w:after="0"/>
            </w:pPr>
            <w:r>
              <w:rPr>
                <w:color w:val="1F2937"/>
                <w:sz w:val="17"/>
              </w:rPr>
              <w:t>5</w:t>
            </w:r>
          </w:p>
        </w:tc>
        <w:tc>
          <w:tcPr>
            <w:tcW w:type="dxa" w:w="2484"/>
            <w:shd w:fill="F9FAFB"/>
            <w:tcMar>
              <w:top w:w="50" w:type="dxa"/>
              <w:bottom w:w="50" w:type="dxa"/>
              <w:left w:w="80" w:type="dxa"/>
              <w:right w:w="80" w:type="dxa"/>
            </w:tcMar>
          </w:tcPr>
          <w:p>
            <w:pPr>
              <w:spacing w:after="0"/>
            </w:pPr>
            <w:r>
              <w:rPr>
                <w:b/>
                <w:color w:val="00897B"/>
                <w:sz w:val="17"/>
              </w:rPr>
              <w:t>5 / 5 PASSED (100%)</w:t>
            </w:r>
          </w:p>
        </w:tc>
      </w:tr>
      <w:tr>
        <w:tc>
          <w:tcPr>
            <w:tcW w:type="dxa" w:w="2484"/>
            <w:shd w:fill="FFFFFF"/>
            <w:tcMar>
              <w:top w:w="50" w:type="dxa"/>
              <w:bottom w:w="50" w:type="dxa"/>
              <w:left w:w="80" w:type="dxa"/>
              <w:right w:w="80" w:type="dxa"/>
            </w:tcMar>
          </w:tcPr>
          <w:p>
            <w:pPr>
              <w:spacing w:after="0"/>
            </w:pPr>
            <w:r>
              <w:rPr>
                <w:color w:val="1F2937"/>
                <w:sz w:val="17"/>
              </w:rPr>
              <w:t>test_anomalies.py</w:t>
            </w:r>
          </w:p>
        </w:tc>
        <w:tc>
          <w:tcPr>
            <w:tcW w:type="dxa" w:w="2484"/>
            <w:shd w:fill="FFFFFF"/>
            <w:tcMar>
              <w:top w:w="50" w:type="dxa"/>
              <w:bottom w:w="50" w:type="dxa"/>
              <w:left w:w="80" w:type="dxa"/>
              <w:right w:w="80" w:type="dxa"/>
            </w:tcMar>
          </w:tcPr>
          <w:p>
            <w:pPr>
              <w:spacing w:after="0"/>
            </w:pPr>
            <w:r>
              <w:rPr>
                <w:color w:val="1F2937"/>
                <w:sz w:val="17"/>
              </w:rPr>
              <w:t>Statistical IQR, SLA age &gt;24h, P95 response, CSAT dips, filters</w:t>
            </w:r>
          </w:p>
        </w:tc>
        <w:tc>
          <w:tcPr>
            <w:tcW w:type="dxa" w:w="2484"/>
            <w:shd w:fill="FFFFFF"/>
            <w:tcMar>
              <w:top w:w="50" w:type="dxa"/>
              <w:bottom w:w="50" w:type="dxa"/>
              <w:left w:w="80" w:type="dxa"/>
              <w:right w:w="80" w:type="dxa"/>
            </w:tcMar>
          </w:tcPr>
          <w:p>
            <w:pPr>
              <w:spacing w:after="0"/>
            </w:pPr>
            <w:r>
              <w:rPr>
                <w:color w:val="1F2937"/>
                <w:sz w:val="17"/>
              </w:rPr>
              <w:t>6</w:t>
            </w:r>
          </w:p>
        </w:tc>
        <w:tc>
          <w:tcPr>
            <w:tcW w:type="dxa" w:w="2484"/>
            <w:shd w:fill="FFFFFF"/>
            <w:tcMar>
              <w:top w:w="50" w:type="dxa"/>
              <w:bottom w:w="50" w:type="dxa"/>
              <w:left w:w="80" w:type="dxa"/>
              <w:right w:w="80" w:type="dxa"/>
            </w:tcMar>
          </w:tcPr>
          <w:p>
            <w:pPr>
              <w:spacing w:after="0"/>
            </w:pPr>
            <w:r>
              <w:rPr>
                <w:b/>
                <w:color w:val="00897B"/>
                <w:sz w:val="17"/>
              </w:rPr>
              <w:t>6 / 6 PASSED (100%)</w:t>
            </w:r>
          </w:p>
        </w:tc>
      </w:tr>
      <w:tr>
        <w:tc>
          <w:tcPr>
            <w:tcW w:type="dxa" w:w="2484"/>
            <w:shd w:fill="F9FAFB"/>
            <w:tcMar>
              <w:top w:w="50" w:type="dxa"/>
              <w:bottom w:w="50" w:type="dxa"/>
              <w:left w:w="80" w:type="dxa"/>
              <w:right w:w="80" w:type="dxa"/>
            </w:tcMar>
          </w:tcPr>
          <w:p>
            <w:pPr>
              <w:spacing w:after="0"/>
            </w:pPr>
            <w:r>
              <w:rPr>
                <w:color w:val="1F2937"/>
                <w:sz w:val="17"/>
              </w:rPr>
              <w:t>test_api.py</w:t>
            </w:r>
          </w:p>
        </w:tc>
        <w:tc>
          <w:tcPr>
            <w:tcW w:type="dxa" w:w="2484"/>
            <w:shd w:fill="F9FAFB"/>
            <w:tcMar>
              <w:top w:w="50" w:type="dxa"/>
              <w:bottom w:w="50" w:type="dxa"/>
              <w:left w:w="80" w:type="dxa"/>
              <w:right w:w="80" w:type="dxa"/>
            </w:tcMar>
          </w:tcPr>
          <w:p>
            <w:pPr>
              <w:spacing w:after="0"/>
            </w:pPr>
            <w:r>
              <w:rPr>
                <w:color w:val="1F2937"/>
                <w:sz w:val="17"/>
              </w:rPr>
              <w:t>FastAPI endpoints: /query, /anomalies, /stats, /tickets pagination</w:t>
            </w:r>
          </w:p>
        </w:tc>
        <w:tc>
          <w:tcPr>
            <w:tcW w:type="dxa" w:w="2484"/>
            <w:shd w:fill="F9FAFB"/>
            <w:tcMar>
              <w:top w:w="50" w:type="dxa"/>
              <w:bottom w:w="50" w:type="dxa"/>
              <w:left w:w="80" w:type="dxa"/>
              <w:right w:w="80" w:type="dxa"/>
            </w:tcMar>
          </w:tcPr>
          <w:p>
            <w:pPr>
              <w:spacing w:after="0"/>
            </w:pPr>
            <w:r>
              <w:rPr>
                <w:color w:val="1F2937"/>
                <w:sz w:val="17"/>
              </w:rPr>
              <w:t>7</w:t>
            </w:r>
          </w:p>
        </w:tc>
        <w:tc>
          <w:tcPr>
            <w:tcW w:type="dxa" w:w="2484"/>
            <w:shd w:fill="F9FAFB"/>
            <w:tcMar>
              <w:top w:w="50" w:type="dxa"/>
              <w:bottom w:w="50" w:type="dxa"/>
              <w:left w:w="80" w:type="dxa"/>
              <w:right w:w="80" w:type="dxa"/>
            </w:tcMar>
          </w:tcPr>
          <w:p>
            <w:pPr>
              <w:spacing w:after="0"/>
            </w:pPr>
            <w:r>
              <w:rPr>
                <w:b/>
                <w:color w:val="00897B"/>
                <w:sz w:val="17"/>
              </w:rPr>
              <w:t>7 / 7 PASSED (100%)</w:t>
            </w:r>
          </w:p>
        </w:tc>
      </w:tr>
      <w:tr>
        <w:tc>
          <w:tcPr>
            <w:tcW w:type="dxa" w:w="2484"/>
            <w:shd w:fill="FFFFFF"/>
            <w:tcMar>
              <w:top w:w="50" w:type="dxa"/>
              <w:bottom w:w="50" w:type="dxa"/>
              <w:left w:w="80" w:type="dxa"/>
              <w:right w:w="80" w:type="dxa"/>
            </w:tcMar>
          </w:tcPr>
          <w:p>
            <w:pPr>
              <w:spacing w:after="0"/>
            </w:pPr>
            <w:r>
              <w:rPr>
                <w:color w:val="1F2937"/>
                <w:sz w:val="17"/>
              </w:rPr>
              <w:t>test_query.py</w:t>
            </w:r>
          </w:p>
        </w:tc>
        <w:tc>
          <w:tcPr>
            <w:tcW w:type="dxa" w:w="2484"/>
            <w:shd w:fill="FFFFFF"/>
            <w:tcMar>
              <w:top w:w="50" w:type="dxa"/>
              <w:bottom w:w="50" w:type="dxa"/>
              <w:left w:w="80" w:type="dxa"/>
              <w:right w:w="80" w:type="dxa"/>
            </w:tcMar>
          </w:tcPr>
          <w:p>
            <w:pPr>
              <w:spacing w:after="0"/>
            </w:pPr>
            <w:r>
              <w:rPr>
                <w:color w:val="1F2937"/>
                <w:sz w:val="17"/>
              </w:rPr>
              <w:t>SQL injection rejection, field whitelisting, group aggregations</w:t>
            </w:r>
          </w:p>
        </w:tc>
        <w:tc>
          <w:tcPr>
            <w:tcW w:type="dxa" w:w="2484"/>
            <w:shd w:fill="FFFFFF"/>
            <w:tcMar>
              <w:top w:w="50" w:type="dxa"/>
              <w:bottom w:w="50" w:type="dxa"/>
              <w:left w:w="80" w:type="dxa"/>
              <w:right w:w="80" w:type="dxa"/>
            </w:tcMar>
          </w:tcPr>
          <w:p>
            <w:pPr>
              <w:spacing w:after="0"/>
            </w:pPr>
            <w:r>
              <w:rPr>
                <w:color w:val="1F2937"/>
                <w:sz w:val="17"/>
              </w:rPr>
              <w:t>10</w:t>
            </w:r>
          </w:p>
        </w:tc>
        <w:tc>
          <w:tcPr>
            <w:tcW w:type="dxa" w:w="2484"/>
            <w:shd w:fill="FFFFFF"/>
            <w:tcMar>
              <w:top w:w="50" w:type="dxa"/>
              <w:bottom w:w="50" w:type="dxa"/>
              <w:left w:w="80" w:type="dxa"/>
              <w:right w:w="80" w:type="dxa"/>
            </w:tcMar>
          </w:tcPr>
          <w:p>
            <w:pPr>
              <w:spacing w:after="0"/>
            </w:pPr>
            <w:r>
              <w:rPr>
                <w:b/>
                <w:color w:val="00897B"/>
                <w:sz w:val="17"/>
              </w:rPr>
              <w:t>10 / 10 PASSED (100%)</w:t>
            </w:r>
          </w:p>
        </w:tc>
      </w:tr>
      <w:tr>
        <w:tc>
          <w:tcPr>
            <w:tcW w:type="dxa" w:w="2484"/>
            <w:shd w:fill="F9FAFB"/>
            <w:tcMar>
              <w:top w:w="50" w:type="dxa"/>
              <w:bottom w:w="50" w:type="dxa"/>
              <w:left w:w="80" w:type="dxa"/>
              <w:right w:w="80" w:type="dxa"/>
            </w:tcMar>
          </w:tcPr>
          <w:p>
            <w:pPr>
              <w:spacing w:after="0"/>
            </w:pPr>
            <w:r>
              <w:rPr>
                <w:color w:val="1F2937"/>
                <w:sz w:val="17"/>
              </w:rPr>
              <w:t>test_data.py</w:t>
            </w:r>
          </w:p>
        </w:tc>
        <w:tc>
          <w:tcPr>
            <w:tcW w:type="dxa" w:w="2484"/>
            <w:shd w:fill="F9FAFB"/>
            <w:tcMar>
              <w:top w:w="50" w:type="dxa"/>
              <w:bottom w:w="50" w:type="dxa"/>
              <w:left w:w="80" w:type="dxa"/>
              <w:right w:w="80" w:type="dxa"/>
            </w:tcMar>
          </w:tcPr>
          <w:p>
            <w:pPr>
              <w:spacing w:after="0"/>
            </w:pPr>
            <w:r>
              <w:rPr>
                <w:color w:val="1F2937"/>
                <w:sz w:val="17"/>
              </w:rPr>
              <w:t>CSV ingestion (500 rows), schema columns, null preservation</w:t>
            </w:r>
          </w:p>
        </w:tc>
        <w:tc>
          <w:tcPr>
            <w:tcW w:type="dxa" w:w="2484"/>
            <w:shd w:fill="F9FAFB"/>
            <w:tcMar>
              <w:top w:w="50" w:type="dxa"/>
              <w:bottom w:w="50" w:type="dxa"/>
              <w:left w:w="80" w:type="dxa"/>
              <w:right w:w="80" w:type="dxa"/>
            </w:tcMar>
          </w:tcPr>
          <w:p>
            <w:pPr>
              <w:spacing w:after="0"/>
            </w:pPr>
            <w:r>
              <w:rPr>
                <w:color w:val="1F2937"/>
                <w:sz w:val="17"/>
              </w:rPr>
              <w:t>4</w:t>
            </w:r>
          </w:p>
        </w:tc>
        <w:tc>
          <w:tcPr>
            <w:tcW w:type="dxa" w:w="2484"/>
            <w:shd w:fill="F9FAFB"/>
            <w:tcMar>
              <w:top w:w="50" w:type="dxa"/>
              <w:bottom w:w="50" w:type="dxa"/>
              <w:left w:w="80" w:type="dxa"/>
              <w:right w:w="80" w:type="dxa"/>
            </w:tcMar>
          </w:tcPr>
          <w:p>
            <w:pPr>
              <w:spacing w:after="0"/>
            </w:pPr>
            <w:r>
              <w:rPr>
                <w:b/>
                <w:color w:val="00897B"/>
                <w:sz w:val="17"/>
              </w:rPr>
              <w:t>4 / 4 PASSED (100%)</w:t>
            </w:r>
          </w:p>
        </w:tc>
      </w:tr>
      <w:tr>
        <w:tc>
          <w:tcPr>
            <w:tcW w:type="dxa" w:w="2484"/>
            <w:shd w:fill="FFFFFF"/>
            <w:tcMar>
              <w:top w:w="50" w:type="dxa"/>
              <w:bottom w:w="50" w:type="dxa"/>
              <w:left w:w="80" w:type="dxa"/>
              <w:right w:w="80" w:type="dxa"/>
            </w:tcMar>
          </w:tcPr>
          <w:p>
            <w:pPr>
              <w:spacing w:after="0"/>
            </w:pPr>
            <w:r>
              <w:rPr>
                <w:color w:val="1F2937"/>
                <w:sz w:val="17"/>
              </w:rPr>
              <w:t>test_edge_cases.py</w:t>
            </w:r>
          </w:p>
        </w:tc>
        <w:tc>
          <w:tcPr>
            <w:tcW w:type="dxa" w:w="2484"/>
            <w:shd w:fill="FFFFFF"/>
            <w:tcMar>
              <w:top w:w="50" w:type="dxa"/>
              <w:bottom w:w="50" w:type="dxa"/>
              <w:left w:w="80" w:type="dxa"/>
              <w:right w:w="80" w:type="dxa"/>
            </w:tcMar>
          </w:tcPr>
          <w:p>
            <w:pPr>
              <w:spacing w:after="0"/>
            </w:pPr>
            <w:r>
              <w:rPr>
                <w:color w:val="1F2937"/>
                <w:sz w:val="17"/>
              </w:rPr>
              <w:t>Whitespace queries, null rating calculations, empty states</w:t>
            </w:r>
          </w:p>
        </w:tc>
        <w:tc>
          <w:tcPr>
            <w:tcW w:type="dxa" w:w="2484"/>
            <w:shd w:fill="FFFFFF"/>
            <w:tcMar>
              <w:top w:w="50" w:type="dxa"/>
              <w:bottom w:w="50" w:type="dxa"/>
              <w:left w:w="80" w:type="dxa"/>
              <w:right w:w="80" w:type="dxa"/>
            </w:tcMar>
          </w:tcPr>
          <w:p>
            <w:pPr>
              <w:spacing w:after="0"/>
            </w:pPr>
            <w:r>
              <w:rPr>
                <w:color w:val="1F2937"/>
                <w:sz w:val="17"/>
              </w:rPr>
              <w:t>5</w:t>
            </w:r>
          </w:p>
        </w:tc>
        <w:tc>
          <w:tcPr>
            <w:tcW w:type="dxa" w:w="2484"/>
            <w:shd w:fill="FFFFFF"/>
            <w:tcMar>
              <w:top w:w="50" w:type="dxa"/>
              <w:bottom w:w="50" w:type="dxa"/>
              <w:left w:w="80" w:type="dxa"/>
              <w:right w:w="80" w:type="dxa"/>
            </w:tcMar>
          </w:tcPr>
          <w:p>
            <w:pPr>
              <w:spacing w:after="0"/>
            </w:pPr>
            <w:r>
              <w:rPr>
                <w:b/>
                <w:color w:val="00897B"/>
                <w:sz w:val="17"/>
              </w:rPr>
              <w:t>5 / 5 PASSED (100%)</w:t>
            </w:r>
          </w:p>
        </w:tc>
      </w:tr>
      <w:tr>
        <w:tc>
          <w:tcPr>
            <w:tcW w:type="dxa" w:w="2484"/>
            <w:shd w:fill="F9FAFB"/>
            <w:tcMar>
              <w:top w:w="50" w:type="dxa"/>
              <w:bottom w:w="50" w:type="dxa"/>
              <w:left w:w="80" w:type="dxa"/>
              <w:right w:w="80" w:type="dxa"/>
            </w:tcMar>
          </w:tcPr>
          <w:p>
            <w:pPr>
              <w:spacing w:after="0"/>
            </w:pPr>
            <w:r>
              <w:rPr>
                <w:color w:val="1F2937"/>
                <w:sz w:val="17"/>
              </w:rPr>
              <w:t>test_health.py &amp; ollama</w:t>
            </w:r>
          </w:p>
        </w:tc>
        <w:tc>
          <w:tcPr>
            <w:tcW w:type="dxa" w:w="2484"/>
            <w:shd w:fill="F9FAFB"/>
            <w:tcMar>
              <w:top w:w="50" w:type="dxa"/>
              <w:bottom w:w="50" w:type="dxa"/>
              <w:left w:w="80" w:type="dxa"/>
              <w:right w:w="80" w:type="dxa"/>
            </w:tcMar>
          </w:tcPr>
          <w:p>
            <w:pPr>
              <w:spacing w:after="0"/>
            </w:pPr>
            <w:r>
              <w:rPr>
                <w:color w:val="1F2937"/>
                <w:sz w:val="17"/>
              </w:rPr>
              <w:t>Telemetry /health and live LLM / deterministic fallback failover</w:t>
            </w:r>
          </w:p>
        </w:tc>
        <w:tc>
          <w:tcPr>
            <w:tcW w:type="dxa" w:w="2484"/>
            <w:shd w:fill="F9FAFB"/>
            <w:tcMar>
              <w:top w:w="50" w:type="dxa"/>
              <w:bottom w:w="50" w:type="dxa"/>
              <w:left w:w="80" w:type="dxa"/>
              <w:right w:w="80" w:type="dxa"/>
            </w:tcMar>
          </w:tcPr>
          <w:p>
            <w:pPr>
              <w:spacing w:after="0"/>
            </w:pPr>
            <w:r>
              <w:rPr>
                <w:color w:val="1F2937"/>
                <w:sz w:val="17"/>
              </w:rPr>
              <w:t>2</w:t>
            </w:r>
          </w:p>
        </w:tc>
        <w:tc>
          <w:tcPr>
            <w:tcW w:type="dxa" w:w="2484"/>
            <w:shd w:fill="F9FAFB"/>
            <w:tcMar>
              <w:top w:w="50" w:type="dxa"/>
              <w:bottom w:w="50" w:type="dxa"/>
              <w:left w:w="80" w:type="dxa"/>
              <w:right w:w="80" w:type="dxa"/>
            </w:tcMar>
          </w:tcPr>
          <w:p>
            <w:pPr>
              <w:spacing w:after="0"/>
            </w:pPr>
            <w:r>
              <w:rPr>
                <w:b/>
                <w:color w:val="00897B"/>
                <w:sz w:val="17"/>
              </w:rPr>
              <w:t>2 / 2 PASSED (100%)</w:t>
            </w:r>
          </w:p>
        </w:tc>
      </w:tr>
    </w:tbl>
    <w:p>
      <w:pPr>
        <w:spacing w:after="200"/>
      </w:pPr>
    </w:p>
    <w:p>
      <w:pPr>
        <w:spacing w:before="320" w:after="120"/>
      </w:pPr>
      <w:r>
        <w:rPr>
          <w:b/>
          <w:color w:val="102A4D"/>
          <w:sz w:val="28"/>
        </w:rPr>
        <w:t>6. Execution &amp; Verification Instructions</w:t>
      </w:r>
    </w:p>
    <w:p>
      <w:pPr>
        <w:spacing w:after="80" w:line="276" w:lineRule="auto"/>
      </w:pPr>
      <w:r>
        <w:rPr>
          <w:color w:val="1F2937"/>
          <w:sz w:val="20"/>
        </w:rPr>
        <w:t>The entire platform can be run and verified by the evaluator using multiple flexible options:</w:t>
      </w:r>
    </w:p>
    <w:p>
      <w:pPr>
        <w:spacing w:before="200" w:after="60"/>
      </w:pPr>
      <w:r>
        <w:rPr>
          <w:b/>
          <w:color w:val="00897B"/>
          <w:sz w:val="23"/>
        </w:rPr>
        <w:t>Option A: Docker Compose (Recommended 1-Command Startup)</w:t>
      </w:r>
    </w:p>
    <w:p>
      <w:pPr>
        <w:spacing w:after="80" w:line="276" w:lineRule="auto"/>
      </w:pPr>
      <w:r>
        <w:rPr>
          <w:b/>
          <w:color w:val="1F2937"/>
          <w:sz w:val="20"/>
        </w:rPr>
        <w:t xml:space="preserve">• Run Compose: </w:t>
      </w:r>
      <w:r>
        <w:rPr>
          <w:color w:val="1F2937"/>
          <w:sz w:val="20"/>
        </w:rPr>
        <w:t>docker compose up -d (Builds container, mounts persistent data volume, and starts at http://localhost:8000)</w:t>
      </w:r>
    </w:p>
    <w:p>
      <w:pPr>
        <w:spacing w:after="80" w:line="276" w:lineRule="auto"/>
      </w:pPr>
      <w:r>
        <w:rPr>
          <w:b/>
          <w:color w:val="1F2937"/>
          <w:sz w:val="20"/>
        </w:rPr>
        <w:t xml:space="preserve">• Verify Health: </w:t>
      </w:r>
      <w:r>
        <w:rPr>
          <w:color w:val="1F2937"/>
          <w:sz w:val="20"/>
        </w:rPr>
        <w:t>docker compose ps &amp;&amp; curl http://localhost:8000/health (Confirms container status and telemetry)</w:t>
      </w:r>
    </w:p>
    <w:p>
      <w:pPr>
        <w:spacing w:after="80" w:line="276" w:lineRule="auto"/>
      </w:pPr>
      <w:r>
        <w:rPr>
          <w:b/>
          <w:color w:val="1F2937"/>
          <w:sz w:val="20"/>
        </w:rPr>
        <w:t xml:space="preserve">• Teardown: </w:t>
      </w:r>
      <w:r>
        <w:rPr>
          <w:color w:val="1F2937"/>
          <w:sz w:val="20"/>
        </w:rPr>
        <w:t>docker compose down (Gracefully stops all containers)</w:t>
      </w:r>
    </w:p>
    <w:p>
      <w:pPr>
        <w:spacing w:before="200" w:after="60"/>
      </w:pPr>
      <w:r>
        <w:rPr>
          <w:b/>
          <w:color w:val="00897B"/>
          <w:sz w:val="23"/>
        </w:rPr>
        <w:t>Option B: Docker Single Container</w:t>
      </w:r>
    </w:p>
    <w:p>
      <w:pPr>
        <w:spacing w:after="80" w:line="276" w:lineRule="auto"/>
      </w:pPr>
      <w:r>
        <w:rPr>
          <w:b/>
          <w:color w:val="1F2937"/>
          <w:sz w:val="20"/>
        </w:rPr>
        <w:t xml:space="preserve">• Build Image: </w:t>
      </w:r>
      <w:r>
        <w:rPr>
          <w:color w:val="1F2937"/>
          <w:sz w:val="20"/>
        </w:rPr>
        <w:t>docker build -t resolviq-platform:latest .</w:t>
      </w:r>
    </w:p>
    <w:p>
      <w:pPr>
        <w:spacing w:after="80" w:line="276" w:lineRule="auto"/>
      </w:pPr>
      <w:r>
        <w:rPr>
          <w:b/>
          <w:color w:val="1F2937"/>
          <w:sz w:val="20"/>
        </w:rPr>
        <w:t xml:space="preserve">• Run Container: </w:t>
      </w:r>
      <w:r>
        <w:rPr>
          <w:color w:val="1F2937"/>
          <w:sz w:val="20"/>
        </w:rPr>
        <w:t>docker run -d --name resolviq -p 8000:8000 -v $(pwd)/data:/app/data resolviq-platform:latest</w:t>
      </w:r>
    </w:p>
    <w:p>
      <w:pPr>
        <w:spacing w:before="200" w:after="60"/>
      </w:pPr>
      <w:r>
        <w:rPr>
          <w:b/>
          <w:color w:val="00897B"/>
          <w:sz w:val="23"/>
        </w:rPr>
        <w:t>Option C: Native Local Python</w:t>
      </w:r>
    </w:p>
    <w:p>
      <w:pPr>
        <w:spacing w:after="80" w:line="276" w:lineRule="auto"/>
      </w:pPr>
      <w:r>
        <w:rPr>
          <w:b/>
          <w:color w:val="1F2937"/>
          <w:sz w:val="20"/>
        </w:rPr>
        <w:t xml:space="preserve">• Dev Mode: </w:t>
      </w:r>
      <w:r>
        <w:rPr>
          <w:color w:val="1F2937"/>
          <w:sz w:val="20"/>
        </w:rPr>
        <w:t>python run.py (Starts with auto-reload at http://localhost:8000)</w:t>
      </w:r>
    </w:p>
    <w:p>
      <w:pPr>
        <w:spacing w:after="80" w:line="276" w:lineRule="auto"/>
      </w:pPr>
      <w:r>
        <w:rPr>
          <w:b/>
          <w:color w:val="1F2937"/>
          <w:sz w:val="20"/>
        </w:rPr>
        <w:t xml:space="preserve">• Production Mode: </w:t>
      </w:r>
      <w:r>
        <w:rPr>
          <w:color w:val="1F2937"/>
          <w:sz w:val="20"/>
        </w:rPr>
        <w:t>python run.py --prod --workers 4 (Starts production server with 4 concurrent workers)</w:t>
      </w:r>
    </w:p>
    <w:p>
      <w:pPr>
        <w:spacing w:after="80" w:line="276" w:lineRule="auto"/>
      </w:pPr>
      <w:r>
        <w:rPr>
          <w:b/>
          <w:color w:val="1F2937"/>
          <w:sz w:val="20"/>
        </w:rPr>
        <w:t xml:space="preserve">• Run Test Suite: </w:t>
      </w:r>
      <w:r>
        <w:rPr>
          <w:color w:val="1F2937"/>
          <w:sz w:val="20"/>
        </w:rPr>
        <w:t>.venv\Scripts\pytest -v --durations=0 (Executes all 39 automated Pytest test cases)</w:t>
      </w:r>
    </w:p>
    <w:p>
      <w:pPr>
        <w:spacing w:before="200" w:after="60"/>
      </w:pPr>
      <w:r>
        <w:rPr>
          <w:b/>
          <w:color w:val="00897B"/>
          <w:sz w:val="23"/>
        </w:rPr>
        <w:t>Option D: Cloud Serverless (Live at https://resolviqai.vercel.app/)</w:t>
      </w:r>
    </w:p>
    <w:p>
      <w:pPr>
        <w:spacing w:after="80" w:line="276" w:lineRule="auto"/>
      </w:pPr>
      <w:r>
        <w:rPr>
          <w:b/>
          <w:color w:val="1F2937"/>
          <w:sz w:val="20"/>
        </w:rPr>
        <w:t xml:space="preserve">• Vercel Deployment: </w:t>
      </w:r>
      <w:r>
        <w:rPr>
          <w:color w:val="1F2937"/>
          <w:sz w:val="20"/>
        </w:rPr>
        <w:t>Fully live and operational on Vercel at https://resolviqai.vercel.app/ with automated cold-start database seeding into /tmp/support_tickets.db. Evaluators can directly access the interactive dashboard and OpenAPI Swagger docs at https://resolviqai.vercel.app/docs.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