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Company Data Protection Policy</w:t>
      </w:r>
    </w:p>
    <w:p>
      <w:pPr>
        <w:pStyle w:val="Heading2"/>
      </w:pPr>
      <w:r>
        <w:t>1. Data Collection</w:t>
      </w:r>
    </w:p>
    <w:p>
      <w:r>
        <w:t>We collect personal data only for specified, legitimate purposes. All data subjects are informed of data collection, and consent is acquired before any personal information is gathered.</w:t>
      </w:r>
    </w:p>
    <w:p>
      <w:pPr>
        <w:pStyle w:val="Heading2"/>
      </w:pPr>
      <w:r>
        <w:t>2. Data Usage</w:t>
      </w:r>
    </w:p>
    <w:p>
      <w:r>
        <w:t>Collected data is used only for the purpose stated during collection. No data is used for automated decision making or profiling without explicit consent.</w:t>
      </w:r>
    </w:p>
    <w:p>
      <w:pPr>
        <w:pStyle w:val="Heading2"/>
      </w:pPr>
      <w:r>
        <w:t>3. Data Security</w:t>
      </w:r>
    </w:p>
    <w:p>
      <w:r>
        <w:t>We implement appropriate technical and organizational measures to ensure the security of personal data, including encryption and access controls.</w:t>
      </w:r>
    </w:p>
    <w:p>
      <w:pPr>
        <w:pStyle w:val="Heading2"/>
      </w:pPr>
      <w:r>
        <w:t>4. Breach Notification</w:t>
      </w:r>
    </w:p>
    <w:p>
      <w:r>
        <w:t>In the event of a data breach, we notify affected individuals and regulatory authorities within 72 hours in accordance with GDPR guidelines.</w:t>
      </w:r>
    </w:p>
    <w:p>
      <w:pPr>
        <w:pStyle w:val="Heading2"/>
      </w:pPr>
      <w:r>
        <w:t>5. Rights of Individuals</w:t>
      </w:r>
    </w:p>
    <w:p>
      <w:r>
        <w:t>All data subjects have the right to access, correct, and request deletion of their personal data. Requests are addressed within 30 days.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