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F172A"/>
          <w:sz w:val="48"/>
        </w:rPr>
        <w:t>ResolveIQ: SRE Incident Response &amp; Memory Agent</w:t>
      </w:r>
    </w:p>
    <w:p>
      <w:pPr>
        <w:spacing w:after="400"/>
      </w:pPr>
      <w:r>
        <w:rPr>
          <w:rFonts w:ascii="Calibri" w:hAnsi="Calibri"/>
          <w:b w:val="0"/>
          <w:i/>
          <w:color w:val="64748B"/>
          <w:sz w:val="26"/>
        </w:rPr>
        <w:t>Technical Overview, Memory Architecture &amp; Operational Workflow</w:t>
      </w:r>
    </w:p>
    <w:p>
      <w:pPr>
        <w:pStyle w:val="Heading1"/>
      </w:pPr>
      <w:r>
        <w:t>1. Executive Summary</w:t>
      </w:r>
    </w:p>
    <w:p>
      <w:pPr>
        <w:spacing w:after="240"/>
      </w:pPr>
      <w:r>
        <w:t>ResolveIQ is an autonomous Site Reliability Engineering (SRE) incident triage agent powered by Hindsight persistent memory and high-throughput Groq LLM inference. Traditional diagnostic agents act in a stateless manner, treating every recurring outage as an unprecedented failure. ResolveIQ retains technical post-mortems, verified root causes, and runbook remediations across deployment cycles, closing the feedback loop on microservice uptime.</w:t>
      </w:r>
    </w:p>
    <w:p>
      <w:pPr>
        <w:pStyle w:val="Heading1"/>
      </w:pPr>
      <w:r>
        <w:t>2. System Architecture &amp; Component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Functional Role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Memory Layer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Hindsight Cloud (Vectorize)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Semantic retrieval of past incidents (recall) and storage of validated fixes (retain).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Reasoning Engine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Groq (Llama / Qwen)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Synthesizes live telemetry with historical incident context to isolate root cause.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Triage Console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Streamlit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Dual-pane interface providing live alert inputs and inspection of retrieved memories.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Data Store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JSON Schemas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  <w:t>Standardized structures for incident metadata, services, and runbook definitions.</w:t>
            </w:r>
          </w:p>
        </w:tc>
      </w:tr>
    </w:tbl>
    <w:p>
      <w:pPr>
        <w:spacing w:after="280"/>
      </w:pPr>
    </w:p>
    <w:p>
      <w:pPr>
        <w:pStyle w:val="Heading1"/>
      </w:pPr>
      <w:r>
        <w:t>3. The Hindsight Continuous Learning Loop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 xml:space="preserve">Recall Stage: </w:t>
      </w:r>
      <w:r>
        <w:t>When an alert fires (e.g., HTTP 503 on auth-service), the agent issues a semantic query to the 'resolveiq' Hindsight bank, retrieving related past incidents, error patterns, and successful resolutions.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 xml:space="preserve">Reasoning &amp; Triage: </w:t>
      </w:r>
      <w:r>
        <w:t>The Groq LLM receives both the live error logs and the retrieved memories, allowing it to prescribe the proven historical resolution (e.g., patching a missing Kubernetes ConfigMap key) rather than general troubleshooting.</w:t>
      </w:r>
    </w:p>
    <w:p>
      <w:pPr>
        <w:pStyle w:val="ListBullet"/>
      </w:pPr>
      <w:r>
        <w:rPr>
          <w:rFonts w:ascii="Calibri" w:hAnsi="Calibri"/>
          <w:b/>
          <w:i w:val="0"/>
          <w:color w:val="0F172A"/>
          <w:sz w:val="22"/>
        </w:rPr>
        <w:t xml:space="preserve">Retain Stage: </w:t>
      </w:r>
      <w:r>
        <w:t>Once an engineer confirms the actual fix, the post-mortem is retained back into Hindsight with metadata tags, ensuring the organization never repeats the diagnostic cycle for that failure mode.</w:t>
      </w:r>
    </w:p>
    <w:p>
      <w:pPr>
        <w:pStyle w:val="Heading1"/>
      </w:pPr>
      <w:r>
        <w:t>4. Documentation &amp; Repository Links</w:t>
      </w:r>
    </w:p>
    <w:p>
      <w:r>
        <w:t>• Hindsight GitHub: https://github.com/vectorize-io/hindsight</w:t>
        <w:br/>
      </w:r>
      <w:r>
        <w:t>• Hindsight Documentation: https://hindsight.vectorize.io/</w:t>
        <w:br/>
      </w:r>
      <w:r>
        <w:t>• Vectorize Agent Memory: https://vectorize.io/what-is-agent-memory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