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E77" w:rsidRDefault="00697E77" w:rsidP="00697E77">
      <w:r>
        <w:t>http://citeseerx.ist.psu.edu/viewdoc/download?doi=10.1.1.68.69&amp;rep=rep1&amp;type=pdf</w:t>
      </w:r>
    </w:p>
    <w:p w:rsidR="00697E77" w:rsidRDefault="00697E77" w:rsidP="00697E77">
      <w:r>
        <w:t>https://pdfs.semanticscholar.org/8c37/3fbd867aa2051ba24269acf7cbc284c2f6fd.pdf</w:t>
      </w:r>
    </w:p>
    <w:p w:rsidR="00697E77" w:rsidRDefault="00697E77" w:rsidP="00697E77"/>
    <w:p w:rsidR="00697E77" w:rsidRDefault="00697E77" w:rsidP="00697E77">
      <w:r>
        <w:t>Barb Wixom (2001), "An Empirical Investigation of the Factors Affecting Data Warehousing Success", Massachusetts Institute of Technology</w:t>
      </w:r>
    </w:p>
    <w:p w:rsidR="00697E77" w:rsidRDefault="00697E77" w:rsidP="00697E77">
      <w:r>
        <w:t>25(1):17-41</w:t>
      </w:r>
      <w:bookmarkStart w:id="0" w:name="_GoBack"/>
      <w:bookmarkEnd w:id="0"/>
    </w:p>
    <w:p w:rsidR="00697E77" w:rsidRDefault="00697E77" w:rsidP="00697E77"/>
    <w:p w:rsidR="00697E77" w:rsidRDefault="00697E77" w:rsidP="00697E77">
      <w:r>
        <w:t>Duggal 2001</w:t>
      </w:r>
    </w:p>
    <w:p w:rsidR="00697E77" w:rsidRDefault="00697E77" w:rsidP="00697E77">
      <w:r>
        <w:t>Sudesh M. Duggal &amp; Inna Pylyayeva (2001), "Data warehouse - Strategic Advantage", Northern Kentucky University, IACIS</w:t>
      </w:r>
    </w:p>
    <w:p w:rsidR="00697E77" w:rsidRDefault="00697E77" w:rsidP="00697E77">
      <w:r>
        <w:t>http://iacis.org/iis/2001/Duggal71.pdf</w:t>
      </w:r>
    </w:p>
    <w:p w:rsidR="00697E77" w:rsidRDefault="00697E77" w:rsidP="00697E77"/>
    <w:p w:rsidR="00697E77" w:rsidRDefault="00697E77" w:rsidP="00697E77">
      <w:r>
        <w:t>Minnesota historical society (2002), "DATA WAREHOUSE DESCRIPTION", http://www.mnhs.org/preserve/records/dwintro.php</w:t>
      </w:r>
    </w:p>
    <w:p w:rsidR="00697E77" w:rsidRDefault="00697E77" w:rsidP="00697E77"/>
    <w:p w:rsidR="00697E77" w:rsidRDefault="00697E77" w:rsidP="00697E77">
      <w:r>
        <w:t>Bill Inmon web reference www.billinmon.com.</w:t>
      </w:r>
    </w:p>
    <w:p w:rsidR="00697E77" w:rsidRDefault="00697E77" w:rsidP="00697E77"/>
    <w:p w:rsidR="00697E77" w:rsidRDefault="00697E77" w:rsidP="00697E77">
      <w:r>
        <w:t>W. H. Inmon, Building the Data Warehouse, 4th ed. New York: John Wiley &amp; Sons, 2005.</w:t>
      </w:r>
    </w:p>
    <w:p w:rsidR="00697E77" w:rsidRDefault="00697E77" w:rsidP="00697E77"/>
    <w:p w:rsidR="00697E77" w:rsidRDefault="00697E77" w:rsidP="00697E77">
      <w:r>
        <w:t>Ralph Kimball and Margy Ross (2003) "The Data Warehouse Toolkit: The Defi nitive Guide to Dimensional Modeling"  John Wiley &amp; Sons, Inc., Indianapolis, Indiana</w:t>
      </w:r>
      <w:r>
        <w:cr/>
      </w:r>
    </w:p>
    <w:p w:rsidR="00697E77" w:rsidRDefault="00697E77" w:rsidP="00697E77">
      <w:r>
        <w:t>http://www.essai.rnu.tn/Ebook/Informatique/The%20Data%20Warehouse%20Toolkit,%203rd%20Edition.pdf</w:t>
      </w:r>
    </w:p>
    <w:p w:rsidR="00697E77" w:rsidRDefault="00697E77" w:rsidP="00697E77"/>
    <w:p w:rsidR="00697E77" w:rsidRDefault="00697E77" w:rsidP="00697E77">
      <w:r>
        <w:t xml:space="preserve">Mukherjee, D. &amp; D'Souza. D. (2003) "Think phased Implementation for successful Data Warehousing.", Information Systems Management, 20, 82 -90. </w:t>
      </w:r>
    </w:p>
    <w:p w:rsidR="00697E77" w:rsidRDefault="00697E77" w:rsidP="00697E77"/>
    <w:p w:rsidR="00697E77" w:rsidRDefault="00697E77" w:rsidP="00697E77">
      <w:r>
        <w:t xml:space="preserve">Hwang, M.I., &amp; Cappel, J.J. (2002), "Data warehouse development and management: Practices of some large companies.", Journal of Computer Information Systems, 43(1), 3-6. </w:t>
      </w:r>
    </w:p>
    <w:p w:rsidR="00697E77" w:rsidRDefault="00697E77" w:rsidP="00697E77"/>
    <w:p w:rsidR="00697E77" w:rsidRDefault="00697E77" w:rsidP="00697E77">
      <w:r>
        <w:t>Martin D. Solomon (2005), "Ensuring A Successful Data Warehouse Initiative", Information Systems Management 22(1):26-36</w:t>
      </w:r>
    </w:p>
    <w:p w:rsidR="00697E77" w:rsidRDefault="00697E77" w:rsidP="00697E77"/>
    <w:p w:rsidR="00697E77" w:rsidRDefault="00697E77" w:rsidP="00697E77">
      <w:r>
        <w:t xml:space="preserve">Watson H., Fuller C., Ariyachandra T. (2004), "Data warehouse governance: best practices at Blue Cross and Blue Shield of North Carolina.", Decision Support Systems,38, 435-450. </w:t>
      </w:r>
    </w:p>
    <w:p w:rsidR="00697E77" w:rsidRDefault="00697E77" w:rsidP="00697E77"/>
    <w:p w:rsidR="00697E77" w:rsidRDefault="00697E77" w:rsidP="00697E77">
      <w:r>
        <w:t>Hayen, R., Rutashobya, C. &amp; Vetter, D. (2007) "An Investigation of the Factors Affecting Data Warehousing Success.", Issues in Information Systems, 8, pp. (2), 547-553.</w:t>
      </w:r>
    </w:p>
    <w:p w:rsidR="00697E77" w:rsidRDefault="00697E77" w:rsidP="00697E77"/>
    <w:p w:rsidR="00697E77" w:rsidRDefault="00697E77" w:rsidP="00697E77">
      <w:r>
        <w:t>Jeff Theobald (2007), "Strategies for Testing Data Warehouse Applications"  Information Management, DW review Magazine</w:t>
      </w:r>
    </w:p>
    <w:p w:rsidR="00697E77" w:rsidRDefault="00697E77" w:rsidP="00697E77"/>
    <w:p w:rsidR="00697E77" w:rsidRDefault="00697E77" w:rsidP="00697E77">
      <w:r>
        <w:t>Nitin Anand (2014), "ETL and its impact on Business Intelligence" International Journal of Scientific and Research Publications, Volume 4, Issue 2, ISSN 2250-3153</w:t>
      </w:r>
    </w:p>
    <w:p w:rsidR="00697E77" w:rsidRDefault="00697E77" w:rsidP="00697E77"/>
    <w:p w:rsidR="00697E77" w:rsidRDefault="00697E77" w:rsidP="00697E77">
      <w:r>
        <w:t>Bharath Anand R., Harish Krishnankutty, Kaushik Ramakrishnan (2007), "Business Rules-Based Test Automation: A novel approach for accelerated testing", SETLabs Briefings, pp 21-28</w:t>
      </w:r>
    </w:p>
    <w:p w:rsidR="00697E77" w:rsidRDefault="00697E77" w:rsidP="00697E77"/>
    <w:p w:rsidR="00697E77" w:rsidRDefault="00697E77" w:rsidP="00697E77">
      <w:r>
        <w:t>Mark Hwang &amp; Hongjiang Xu (2008), "A structural model of data warehousing success",  The Journal of Computer Information Systems; Fall 2008; 49, 1;</w:t>
      </w:r>
    </w:p>
    <w:p w:rsidR="00697E77" w:rsidRDefault="00697E77" w:rsidP="00697E77"/>
    <w:p w:rsidR="00697E77" w:rsidRDefault="00697E77" w:rsidP="00697E77">
      <w:r>
        <w:t>Duong Thi Anh Hoang</w:t>
      </w:r>
      <w:r>
        <w:cr/>
        <w:t xml:space="preserve"> (2009) "Impact Analysis for On-Demand Data Warehousing Evolution", Austrian Council for Research and Technology Development</w:t>
      </w:r>
    </w:p>
    <w:p w:rsidR="00697E77" w:rsidRDefault="00697E77" w:rsidP="00697E77"/>
    <w:p w:rsidR="00697E77" w:rsidRDefault="00697E77" w:rsidP="00697E77">
      <w:r>
        <w:t>Victor González-CastroLachlan M. MacKinnonMaría del Pilar Angeles (2009), "An Alternative Data Warehouse Reference Architectural Configuration",  Lecture Notes in Computer Science book series (LNCS, volume 5588)</w:t>
      </w:r>
    </w:p>
    <w:p w:rsidR="00697E77" w:rsidRDefault="00697E77" w:rsidP="00697E77"/>
    <w:p w:rsidR="00697E77" w:rsidRDefault="00697E77" w:rsidP="00697E77">
      <w:r>
        <w:t>Sena Periasamy, (2010) "Data Warehouse/BI Testing Offering.", Hexaware Technologies. http://www.hexaware.com/wp-bi.htm</w:t>
      </w:r>
    </w:p>
    <w:p w:rsidR="00697E77" w:rsidRDefault="00697E77" w:rsidP="00697E77"/>
    <w:p w:rsidR="00697E77" w:rsidRDefault="00697E77" w:rsidP="00697E77">
      <w:r>
        <w:t>Dylan Maltby (2011) “Big Data Analytics”. ASIST 2011. New Orleans, LA, USA</w:t>
      </w:r>
    </w:p>
    <w:p w:rsidR="00697E77" w:rsidRDefault="00697E77" w:rsidP="00697E77"/>
    <w:p w:rsidR="00697E77" w:rsidRDefault="00697E77" w:rsidP="00697E77">
      <w:r>
        <w:t>Dudekula Mohammad Raﬁ, Katam Reddy Kiran Moses, Kai Petersen (2011), "Benefits and limitations of automated software testing: Systematic literature review and practitioner survey" Automation of Software Test (AST)</w:t>
      </w:r>
    </w:p>
    <w:p w:rsidR="00697E77" w:rsidRDefault="00697E77" w:rsidP="00697E77"/>
    <w:p w:rsidR="00697E77" w:rsidRDefault="00697E77" w:rsidP="00697E77">
      <w:r>
        <w:t>HCL (2013), "Test Automation Framework Using MBT " https://www.hcltech.com/sites/default/files/test_automation_framework.pdf</w:t>
      </w:r>
    </w:p>
    <w:p w:rsidR="00697E77" w:rsidRDefault="00697E77" w:rsidP="00697E77"/>
    <w:p w:rsidR="00697E77" w:rsidRDefault="00697E77" w:rsidP="00697E77">
      <w:r>
        <w:t>Prof Vina M Lomte, Rishikesh Chandra, Ayush Gondhal,Ashish Shinde &amp; Sanket Pimple (2014) "Data Driven Automation Testing Framework", International Journal of Emerging Engineering Research and Technology ISSN 2349-4395 PP 51-56</w:t>
      </w:r>
    </w:p>
    <w:p w:rsidR="00697E77" w:rsidRDefault="00697E77" w:rsidP="00697E77"/>
    <w:p w:rsidR="00697E77" w:rsidRDefault="00697E77" w:rsidP="00697E77">
      <w:r>
        <w:t>Dayu Guan (2014) "Manual to Automated Testing", School of Information Management, Victoria Business School</w:t>
      </w:r>
    </w:p>
    <w:p w:rsidR="00697E77" w:rsidRDefault="00697E77" w:rsidP="00697E77"/>
    <w:p w:rsidR="00697E77" w:rsidRDefault="00697E77" w:rsidP="00697E77">
      <w:r>
        <w:t>A McKnight (2014) "Effective Data Warehouse Organizational Roles and Responsibilities", A McKnight Associates Inc.2000</w:t>
      </w:r>
    </w:p>
    <w:p w:rsidR="00697E77" w:rsidRDefault="00697E77" w:rsidP="00697E77"/>
    <w:p w:rsidR="00697E77" w:rsidRDefault="00697E77" w:rsidP="00697E77">
      <w:r>
        <w:t>Nada Elgendy and Ahmed Elragal (2014) "Big Data Analytics: A Literature Review Paper",  Springer International Publishing Switzerland ICDM 2014, LNAI 8557, pp. 214–227</w:t>
      </w:r>
    </w:p>
    <w:p w:rsidR="00697E77" w:rsidRDefault="00697E77" w:rsidP="00697E77"/>
    <w:p w:rsidR="00697E77" w:rsidRDefault="00697E77" w:rsidP="00697E77">
      <w:r>
        <w:t>Cognizant (2014), "Building a Robust Big Data QA Ecosystem to Mitigate Data Integrity Challenges", https://www.cognizant.com/whitepapers/building-a-robust-big-data-qa-ecosystem-to-mitigate-data-integrity-challenges-codex907.pdf</w:t>
      </w:r>
    </w:p>
    <w:p w:rsidR="00697E77" w:rsidRDefault="00697E77" w:rsidP="00697E77">
      <w:r>
        <w:t>Cognizant (2014), "Deliver Trusted Data by Leveraging ETL Testing", https://www.cognizant.com/whitepapers/deliver-trusted-data-by-leveraging-etl-testing-codex1031.pdf</w:t>
      </w:r>
    </w:p>
    <w:p w:rsidR="00697E77" w:rsidRDefault="00697E77" w:rsidP="00697E77"/>
    <w:p w:rsidR="00697E77" w:rsidRDefault="00697E77" w:rsidP="00697E77">
      <w:r>
        <w:t>Harshawardhan S. Bhosale, Devendra P. Gadekar (2014) “A ReviewPaper  on  Big  Data  and  Hadoop” in  International  Journal  of Scientific and Research Publications,  Volume 4, Issue 10.</w:t>
      </w:r>
    </w:p>
    <w:p w:rsidR="00697E77" w:rsidRDefault="00697E77" w:rsidP="00697E77"/>
    <w:p w:rsidR="00697E77" w:rsidRDefault="00697E77" w:rsidP="00697E77">
      <w:r>
        <w:t>Golfarelli, M., Rizzi, S. (2009) “A Survey on Temporal DataWarehousing,” International Journal of Data Warehousing and Mining (IJDWM), Vol. 5, n. 1, pp. 1-17.</w:t>
      </w:r>
    </w:p>
    <w:p w:rsidR="00697E77" w:rsidRDefault="00697E77" w:rsidP="00697E77"/>
    <w:p w:rsidR="00FD5978" w:rsidRPr="00FD5978" w:rsidRDefault="00697E77" w:rsidP="00697E77">
      <w:r>
        <w:t>FirstEigen (2015), "New Paradigm in Big Data Quality Testing- Self Learning Algorithms", http://firsteigen.com/wp-content/uploads/2016/11/New-Paradigm-in-Big-Data-Quality-Testing-whitepaper.pdf</w:t>
      </w:r>
    </w:p>
    <w:sectPr w:rsidR="00FD5978" w:rsidRPr="00FD5978" w:rsidSect="00050C51">
      <w:footerReference w:type="default" r:id="rId10"/>
      <w:pgSz w:w="11906" w:h="16838" w:code="9"/>
      <w:pgMar w:top="1247" w:right="1247" w:bottom="1247" w:left="124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C21" w:rsidRDefault="00123C21" w:rsidP="00AA4E94">
      <w:r>
        <w:separator/>
      </w:r>
    </w:p>
  </w:endnote>
  <w:endnote w:type="continuationSeparator" w:id="0">
    <w:p w:rsidR="00123C21" w:rsidRDefault="00123C21" w:rsidP="00AA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E77" w:rsidRDefault="00697E77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EBEA725" wp14:editId="231F1920">
              <wp:simplePos x="0" y="0"/>
              <wp:positionH relativeFrom="page">
                <wp:posOffset>0</wp:posOffset>
              </wp:positionH>
              <wp:positionV relativeFrom="bottomMargin">
                <wp:align>bottom</wp:align>
              </wp:positionV>
              <wp:extent cx="123825" cy="762000"/>
              <wp:effectExtent l="0" t="0" r="2540" b="825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825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97E77" w:rsidRDefault="00697E77" w:rsidP="00697E77">
                          <w:pPr>
                            <w:jc w:val="right"/>
                            <w:rPr>
                              <w:rFonts w:cs="Arial"/>
                              <w:color w:val="000000"/>
                              <w:sz w:val="16"/>
                            </w:rPr>
                          </w:pPr>
                          <w:r>
                            <w:fldChar w:fldCharType="begin" w:fldLock="1"/>
                          </w:r>
                          <w:r>
                            <w:instrText xml:space="preserve"> DOCPROPERTY bjFooterPrimaryTextBox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cs="Arial"/>
                              <w:color w:val="000000"/>
                              <w:sz w:val="16"/>
                            </w:rPr>
                            <w:t>Public</w:t>
                          </w:r>
                          <w:r>
                            <w:rPr>
                              <w:rFonts w:cs="Arial"/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rFonts w:cs="Arial"/>
                              <w:color w:val="000000"/>
                              <w:sz w:val="16"/>
                            </w:rPr>
                            <w:tab/>
                          </w:r>
                        </w:p>
                        <w:p w:rsidR="00697E77" w:rsidRPr="00697E77" w:rsidRDefault="00697E77" w:rsidP="00697E77">
                          <w:pPr>
                            <w:jc w:val="right"/>
                            <w:rPr>
                              <w:rFonts w:cs="Arial"/>
                              <w:color w:val="000000"/>
                              <w:sz w:val="12"/>
                            </w:rPr>
                          </w:pPr>
                          <w:r w:rsidRPr="00697E77">
                            <w:rPr>
                              <w:rFonts w:cs="Arial"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  <w:p w:rsidR="00697E77" w:rsidRDefault="00697E77" w:rsidP="00697E77">
                          <w:pPr>
                            <w:jc w:val="right"/>
                          </w:pPr>
                          <w:r w:rsidRPr="00697E77">
                            <w:rPr>
                              <w:rFonts w:cs="Arial"/>
                              <w:color w:val="000000"/>
                              <w:sz w:val="12"/>
                            </w:rPr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9.75pt;height:60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bottom;mso-position-vertical-relative:bottom-margin-area;mso-width-percent:1000;mso-height-percent:1000;mso-width-relative:page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" filled="f" stroked="f" strokeweight=".5pt">
              <v:fill o:detectmouseclick="t"/>
              <v:textbox inset="0,0,0,0">
                <w:txbxContent>
                  <w:p w:rsidR="00697E77" w:rsidRDefault="00697E77" w:rsidP="00697E77">
                    <w:pPr>
                      <w:jc w:val="right"/>
                      <w:rPr>
                        <w:rFonts w:cs="Arial"/>
                        <w:color w:val="000000"/>
                        <w:sz w:val="16"/>
                      </w:rPr>
                    </w:pPr>
                    <w:r>
                      <w:fldChar w:fldCharType="begin" w:fldLock="1"/>
                    </w:r>
                    <w:r>
                      <w:instrText xml:space="preserve"> DOCPROPERTY bjFooterPrimaryTextBox \* MERGEFORMAT </w:instrText>
                    </w:r>
                    <w:r>
                      <w:fldChar w:fldCharType="separate"/>
                    </w:r>
                    <w:r>
                      <w:rPr>
                        <w:rFonts w:cs="Arial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cs="Arial"/>
                        <w:color w:val="000000"/>
                        <w:sz w:val="16"/>
                      </w:rPr>
                      <w:tab/>
                    </w:r>
                    <w:r>
                      <w:rPr>
                        <w:rFonts w:cs="Arial"/>
                        <w:color w:val="000000"/>
                        <w:sz w:val="16"/>
                      </w:rPr>
                      <w:tab/>
                    </w:r>
                  </w:p>
                  <w:p w:rsidR="00697E77" w:rsidRPr="00697E77" w:rsidRDefault="00697E77" w:rsidP="00697E77">
                    <w:pPr>
                      <w:jc w:val="right"/>
                      <w:rPr>
                        <w:rFonts w:cs="Arial"/>
                        <w:color w:val="000000"/>
                        <w:sz w:val="12"/>
                      </w:rPr>
                    </w:pPr>
                    <w:r w:rsidRPr="00697E77">
                      <w:rPr>
                        <w:rFonts w:cs="Arial"/>
                        <w:color w:val="000000"/>
                        <w:sz w:val="12"/>
                      </w:rPr>
                      <w:t xml:space="preserve"> </w:t>
                    </w:r>
                  </w:p>
                  <w:p w:rsidR="00697E77" w:rsidRDefault="00697E77" w:rsidP="00697E77">
                    <w:pPr>
                      <w:jc w:val="right"/>
                    </w:pPr>
                    <w:r w:rsidRPr="00697E77">
                      <w:rPr>
                        <w:rFonts w:cs="Arial"/>
                        <w:color w:val="000000"/>
                        <w:sz w:val="12"/>
                      </w:rPr>
                      <w:t xml:space="preserve"> </w:t>
                    </w:r>
                    <w: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C21" w:rsidRDefault="00123C21" w:rsidP="00AA4E94">
      <w:r>
        <w:separator/>
      </w:r>
    </w:p>
  </w:footnote>
  <w:footnote w:type="continuationSeparator" w:id="0">
    <w:p w:rsidR="00123C21" w:rsidRDefault="00123C21" w:rsidP="00AA4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CAF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6E8A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B6BD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8A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80A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D6F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E4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0C4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5C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65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8377FC"/>
    <w:multiLevelType w:val="hybridMultilevel"/>
    <w:tmpl w:val="9C9A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601C6"/>
    <w:multiLevelType w:val="multilevel"/>
    <w:tmpl w:val="C6C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D3BC6"/>
    <w:multiLevelType w:val="hybridMultilevel"/>
    <w:tmpl w:val="C6C88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434398"/>
    <w:multiLevelType w:val="hybridMultilevel"/>
    <w:tmpl w:val="A722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B23AC"/>
    <w:multiLevelType w:val="hybridMultilevel"/>
    <w:tmpl w:val="4E32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512FE"/>
    <w:multiLevelType w:val="hybridMultilevel"/>
    <w:tmpl w:val="B05A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722ADD"/>
    <w:multiLevelType w:val="hybridMultilevel"/>
    <w:tmpl w:val="4E50C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5"/>
  </w:num>
  <w:num w:numId="14">
    <w:abstractNumId w:val="12"/>
  </w:num>
  <w:num w:numId="15">
    <w:abstractNumId w:val="11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E77"/>
    <w:rsid w:val="00050C51"/>
    <w:rsid w:val="00072D44"/>
    <w:rsid w:val="000B3E65"/>
    <w:rsid w:val="00116EE2"/>
    <w:rsid w:val="00123C21"/>
    <w:rsid w:val="001A76B3"/>
    <w:rsid w:val="001D1699"/>
    <w:rsid w:val="001D5067"/>
    <w:rsid w:val="001E2C17"/>
    <w:rsid w:val="001F2EC9"/>
    <w:rsid w:val="002502E0"/>
    <w:rsid w:val="002A1F66"/>
    <w:rsid w:val="002E13A6"/>
    <w:rsid w:val="00304DEA"/>
    <w:rsid w:val="003A13B9"/>
    <w:rsid w:val="004D6B73"/>
    <w:rsid w:val="00544150"/>
    <w:rsid w:val="00697E77"/>
    <w:rsid w:val="006E252B"/>
    <w:rsid w:val="006E4102"/>
    <w:rsid w:val="006F37AD"/>
    <w:rsid w:val="00752B89"/>
    <w:rsid w:val="007B11BD"/>
    <w:rsid w:val="00804F60"/>
    <w:rsid w:val="00841E4D"/>
    <w:rsid w:val="00864E34"/>
    <w:rsid w:val="00884A01"/>
    <w:rsid w:val="00890423"/>
    <w:rsid w:val="00924F09"/>
    <w:rsid w:val="009362ED"/>
    <w:rsid w:val="00951549"/>
    <w:rsid w:val="00953704"/>
    <w:rsid w:val="009850EC"/>
    <w:rsid w:val="009974C9"/>
    <w:rsid w:val="00A26B45"/>
    <w:rsid w:val="00A85E6E"/>
    <w:rsid w:val="00A8695B"/>
    <w:rsid w:val="00AA4E94"/>
    <w:rsid w:val="00B55D29"/>
    <w:rsid w:val="00BA75B8"/>
    <w:rsid w:val="00BC7350"/>
    <w:rsid w:val="00BD2B7A"/>
    <w:rsid w:val="00BE261A"/>
    <w:rsid w:val="00BF4249"/>
    <w:rsid w:val="00C032E4"/>
    <w:rsid w:val="00C06EAA"/>
    <w:rsid w:val="00C37A69"/>
    <w:rsid w:val="00C41080"/>
    <w:rsid w:val="00C56376"/>
    <w:rsid w:val="00CB3C4E"/>
    <w:rsid w:val="00CC7B1A"/>
    <w:rsid w:val="00DE5894"/>
    <w:rsid w:val="00E15C7A"/>
    <w:rsid w:val="00E66150"/>
    <w:rsid w:val="00E80952"/>
    <w:rsid w:val="00EB6573"/>
    <w:rsid w:val="00F53556"/>
    <w:rsid w:val="00F55EC4"/>
    <w:rsid w:val="00FB7CEC"/>
    <w:rsid w:val="00F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NWM">
  <a:themeElements>
    <a:clrScheme name="NWM">
      <a:dk1>
        <a:sysClr val="windowText" lastClr="000000"/>
      </a:dk1>
      <a:lt1>
        <a:sysClr val="window" lastClr="FFFFFF"/>
      </a:lt1>
      <a:dk2>
        <a:srgbClr val="3B1256"/>
      </a:dk2>
      <a:lt2>
        <a:srgbClr val="EEECE1"/>
      </a:lt2>
      <a:accent1>
        <a:srgbClr val="42145F"/>
      </a:accent1>
      <a:accent2>
        <a:srgbClr val="06B3BB"/>
      </a:accent2>
      <a:accent3>
        <a:srgbClr val="516CB4"/>
      </a:accent3>
      <a:accent4>
        <a:srgbClr val="E84261"/>
      </a:accent4>
      <a:accent5>
        <a:srgbClr val="F9B122"/>
      </a:accent5>
      <a:accent6>
        <a:srgbClr val="81AA28"/>
      </a:accent6>
      <a:hlink>
        <a:srgbClr val="42145F"/>
      </a:hlink>
      <a:folHlink>
        <a:srgbClr val="42145F"/>
      </a:folHlink>
    </a:clrScheme>
    <a:fontScheme name="NWM">
      <a:majorFont>
        <a:latin typeface="Arial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mbria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Yiii" typeface="Microsoft Yi Baiti"/>
        <a:font script="Cher" typeface="Plantagenet Cherokee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RB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6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>
    <a:spDef>
      <a:spPr>
        <a:ln w="9525">
          <a:noFill/>
        </a:ln>
      </a:spPr>
      <a:bodyPr rot="0" spcFirstLastPara="0" vertOverflow="overflow" horzOverflow="overflow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000" b="1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rgbClr val="69616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noAutofit/>
      </a:bodyPr>
      <a:lstStyle>
        <a:defPPr>
          <a:defRPr sz="1100" dirty="0" err="1" smtClean="0">
            <a:solidFill>
              <a:schemeClr val="tx2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custClrLst>
    <a:custClr name="Purple 100% Accent 1">
      <a:srgbClr val="42145F"/>
    </a:custClr>
    <a:custClr name="Aqua 100% Accent 2">
      <a:srgbClr val="06B3BB"/>
    </a:custClr>
    <a:custClr name="Blue 100% Accent 3">
      <a:srgbClr val="516CB4"/>
    </a:custClr>
    <a:custClr name="Crimson 100% Accent 4">
      <a:srgbClr val="E84261"/>
    </a:custClr>
    <a:custClr name="Yellow 100% Accent 5">
      <a:srgbClr val="F9B122"/>
    </a:custClr>
    <a:custClr name="Green 100% Accent 6">
      <a:srgbClr val="81AA28"/>
    </a:custClr>
    <a:custClr name="Brown 100%">
      <a:srgbClr val="A6791D"/>
    </a:custClr>
    <a:custClr name="Orange 100%">
      <a:srgbClr val="F36F21"/>
    </a:custClr>
    <a:custClr name="Light Purple 100%">
      <a:srgbClr val="9C71B4"/>
    </a:custClr>
    <a:custClr name="Grey 100%">
      <a:srgbClr val="696161"/>
    </a:custClr>
    <a:custClr name="Purple 70% Accent 1">
      <a:srgbClr val="8629C1"/>
    </a:custClr>
    <a:custClr name="Aqua 70% Accent 2">
      <a:srgbClr val="28EFF8"/>
    </a:custClr>
    <a:custClr name="Blue 70% Accent 3">
      <a:srgbClr val="8598CA"/>
    </a:custClr>
    <a:custClr name="Crimson 70% Accent 4">
      <a:srgbClr val="EF7B90"/>
    </a:custClr>
    <a:custClr name="Yellow 70% Accent 5">
      <a:srgbClr val="FBC864"/>
    </a:custClr>
    <a:custClr name="Green 70% Accent 6">
      <a:srgbClr val="AED755"/>
    </a:custClr>
    <a:custClr name="Brown 70%">
      <a:srgbClr val="DEAB43"/>
    </a:custClr>
    <a:custClr name="Orange 70%">
      <a:srgbClr val="F79A64"/>
    </a:custClr>
    <a:custClr name="Light Purple 70%">
      <a:srgbClr val="BA9CCA"/>
    </a:custClr>
    <a:custClr name="Grey 70%">
      <a:srgbClr val="978F8F"/>
    </a:custClr>
    <a:custClr name="Purple 50% Accent 1">
      <a:srgbClr val="AB5CDD"/>
    </a:custClr>
    <a:custClr name="Aqua 50% Accent 2">
      <a:srgbClr val="65F4FA"/>
    </a:custClr>
    <a:custClr name="Blue 50% Accent  3">
      <a:srgbClr val="A8B6D9"/>
    </a:custClr>
    <a:custClr name="Crimson 50% Accent 4">
      <a:srgbClr val="F4A0B0"/>
    </a:custClr>
    <a:custClr name="Yellow 50% Accent 5">
      <a:srgbClr val="FCD891"/>
    </a:custClr>
    <a:custClr name="Green 50% Accent 6">
      <a:srgbClr val="C5E286"/>
    </a:custClr>
    <a:custClr name="Brown 50%">
      <a:srgbClr val="E8C379"/>
    </a:custClr>
    <a:custClr name="Orange 50%">
      <a:srgbClr val="F9B790"/>
    </a:custClr>
    <a:custClr name="Light Purple 50%">
      <a:srgbClr val="CDB8D9"/>
    </a:custClr>
    <a:custClr name="Grey 50%">
      <a:srgbClr val="B5AFAF"/>
    </a:custClr>
    <a:custClr name="Purple 30% Accent 1">
      <a:srgbClr val="CD9DEA"/>
    </a:custClr>
    <a:custClr name="Aqua 30% Accent 2">
      <a:srgbClr val="A3F8FC"/>
    </a:custClr>
    <a:custClr name="Blue 30% Accent 3">
      <a:srgbClr val="CBD3E8"/>
    </a:custClr>
    <a:custClr name="Crimson 30% Accent 4">
      <a:srgbClr val="F8C6D0"/>
    </a:custClr>
    <a:custClr name="Yellow 30% Accent 5">
      <a:srgbClr val="FDE8BD"/>
    </a:custClr>
    <a:custClr name="Green 30% Accent 6">
      <a:srgbClr val="DCEEB6"/>
    </a:custClr>
    <a:custClr name="Brown 30%">
      <a:srgbClr val="F1DBAF"/>
    </a:custClr>
    <a:custClr name="Orange 30%">
      <a:srgbClr val="FBD4BC"/>
    </a:custClr>
    <a:custClr name="Light Purple 30%">
      <a:srgbClr val="E1D4E8"/>
    </a:custClr>
    <a:custClr name="Grey 30%">
      <a:srgbClr val="D3CFC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+PGVsZW1lbnQgdWlkPSI5NDM3MTFmNy1lNjMyLTRjMmQtYTg0YS1lMjEzMjRhOGY3MmIiIHZhbHVlPSIiIHhtbG5zPSJodHRwOi8vd3d3LmJvbGRvbmphbWVzLmNvbS8yMDA4LzAxL3NpZS9pbnRlcm5hbC9sYWJlbCIgLz48L3Npc2w+PFVzZXJOYW1lPkZNXGt1bWFycGU8L1VzZXJOYW1lPjxEYXRlVGltZT4wOS8wNS8yMDE5IDEyOjA3OjEzPC9EYXRlVGltZT48TGFiZWxTdHJpbmc+SW5mb3JtYXRpb24gQ2xhc3NpZmljYXRpb246IFB1YmxpYz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5f58a13a-4de7-4470-beb9-3beec9fe212b" origin="userSelected">
  <element uid="ffc4774d-2b92-4495-b927-7a2d3feb9b5e" value=""/>
  <element uid="6303c239-ff00-4fdf-9c3f-740e3d1926b2" value=""/>
  <element uid="943711f7-e632-4c2d-a84a-e21324a8f72b" value=""/>
</sisl>
</file>

<file path=customXml/itemProps1.xml><?xml version="1.0" encoding="utf-8"?>
<ds:datastoreItem xmlns:ds="http://schemas.openxmlformats.org/officeDocument/2006/customXml" ds:itemID="{F49CFDAC-B95F-4294-9FEA-CC5E7A424E4A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832FC602-D3A8-44D1-A524-3F6667C413E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723</Words>
  <Characters>4125</Characters>
  <Application>Microsoft Office Word</Application>
  <DocSecurity>0</DocSecurity>
  <Lines>34</Lines>
  <Paragraphs>9</Paragraphs>
  <ScaleCrop>false</ScaleCrop>
  <Company>The Royal Bank Of Scotland</Company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PRAVEEN (NatWest Markets)</dc:creator>
  <cp:lastModifiedBy>KUMAR, PRAVEEN (NatWest Markets)</cp:lastModifiedBy>
  <cp:revision>1</cp:revision>
  <dcterms:created xsi:type="dcterms:W3CDTF">2019-05-09T12:06:00Z</dcterms:created>
  <dcterms:modified xsi:type="dcterms:W3CDTF">2019-05-09T12:07:00Z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bda585a4-ccca-4711-a0c6-038ac8d3bef3</vt:lpwstr>
  </property>
  <property fmtid="{D5CDD505-2E9C-101B-9397-08002B2CF9AE}" pid="3" name="bjSaver">
    <vt:lpwstr>dmU2l33FrtwNo4kwHCFskdMjwPKmrhuc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policy="5f58a13a-4de7-4470-beb9-3beec9fe212b" origin="userSelected" xmlns="http://www.boldonj</vt:lpwstr>
  </property>
  <property fmtid="{D5CDD505-2E9C-101B-9397-08002B2CF9AE}" pid="5" name="bjDocumentLabelXML-0">
    <vt:lpwstr>ames.com/2008/01/sie/internal/label"&gt;&lt;element uid="ffc4774d-2b92-4495-b927-7a2d3feb9b5e" value="" /&gt;&lt;element uid="6303c239-ff00-4fdf-9c3f-740e3d1926b2" value="" /&gt;&lt;element uid="943711f7-e632-4c2d-a84a-e21324a8f72b" value="" /&gt;&lt;/sisl&gt;</vt:lpwstr>
  </property>
  <property fmtid="{D5CDD505-2E9C-101B-9397-08002B2CF9AE}" pid="6" name="bjDocumentSecurityLabel">
    <vt:lpwstr>Information Classification: Public</vt:lpwstr>
  </property>
  <property fmtid="{D5CDD505-2E9C-101B-9397-08002B2CF9AE}" pid="7" name="X-124e4765-2f88-4c1f-a8f1-31b28df5d5fe:">
    <vt:lpwstr>Public</vt:lpwstr>
  </property>
  <property fmtid="{D5CDD505-2E9C-101B-9397-08002B2CF9AE}" pid="8" name="bjFooterPrimaryTextBox">
    <vt:lpwstr>Public		_x000d_
 _x000d_
 </vt:lpwstr>
  </property>
  <property fmtid="{D5CDD505-2E9C-101B-9397-08002B2CF9AE}" pid="9" name="bjFooterFirstTextBox">
    <vt:lpwstr>Public		_x000d_
 _x000d_
 </vt:lpwstr>
  </property>
  <property fmtid="{D5CDD505-2E9C-101B-9397-08002B2CF9AE}" pid="10" name="bjFooterEvenTextBox">
    <vt:lpwstr>Public		_x000d_
 _x000d_
 </vt:lpwstr>
  </property>
  <property fmtid="{D5CDD505-2E9C-101B-9397-08002B2CF9AE}" pid="11" name="bjLabelHistoryID">
    <vt:lpwstr>{F49CFDAC-B95F-4294-9FEA-CC5E7A424E4A}</vt:lpwstr>
  </property>
</Properties>
</file>