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3864"/>
          <w:sz w:val="36"/>
          <w:szCs w:val="36"/>
        </w:rPr>
        <w:t xml:space="preserve">Download Center 3.0 — Migration Status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595959"/>
          <w:sz w:val="24"/>
          <w:szCs w:val="24"/>
        </w:rPr>
        <w:t xml:space="preserve">Meeting summary &amp;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Center 2.0 → 3.0 migration (Motif / Workflow integration)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Translation layer status, file-name handling, scheduling migration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Praveen Kumar Nandyala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cycle functional; data, pivot UI, custom-file handling, and scheduling pending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Status of the migration</w:t>
      </w:r>
    </w:p>
    <w:p>
      <w:pPr>
        <w:spacing w:after="120"/>
      </w:pPr>
      <w:r>
        <w:t xml:space="preserve">The translation layer is functional end-to-end. New code can call the legacy Motif / Workflow service, and old responses are translated back into the new service's database structure. The full request → response → status-update cycle works.</w:t>
      </w:r>
    </w:p>
    <w:p>
      <w:pPr>
        <w:pStyle w:val="Heading1"/>
      </w:pPr>
      <w:r>
        <w:t xml:space="preserve">2.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 /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migration 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user/schedule script still to be tested before creating new tables and running the migration over.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Pivot column feeds in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Single-file handling is straightforward. For multiple files, append a file-ID suffix to row / number / value fields so the UI can attribute pivot config to the right file. Not in current sprint; will be added with the transmission service work.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 file name / path / COB date handling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legacy scenarios to cover (see next section). Custom file path must be persisted per submission file; custom file name can directly replace the stored name.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agreed; coding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Scheduling migration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Existing schedules reference old submission IDs. User/schedule migration runs in parallel with request-submission migration and rewires associations to the new submission ID once available.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to be confirmed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much currently being validated verbally. Need a written reference covering GUID and custom file-name/path scenarios.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File-name handling — agreed behaviour</w:t>
      </w:r>
    </w:p>
    <w:p>
      <w:pPr>
        <w:spacing w:after="120"/>
      </w:pPr>
      <w:r>
        <w:t xml:space="preserve">The lengthy discussion on legacy GUID requests vs. the new submission-file model resolved into the following matrix. Customs apply on initiation and on subsequent update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custom file name; no GUID provided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standard naming: report name + run date (or COB date if provided) + submission ID + extension (default CSV).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 provided by external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their GUID, then append COB date (or run date if no COB) and extension. Persist as file name in the new request_submission_file row.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 file name provided (initiation or update)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the stored display name with the custom name. On download / read, look up the custom file rather than the generated GUID. No need to persist separately — direct replacement is fine.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 file path provided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be persisted per submission file. Different products (e.g. swaps vs bonds within trial balance) may write to different folders, so the path is file-specific.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 calls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 is not resent on updates — only request submission status / progress. Custom file name or path may still arrive on the success update and must be honoured.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request payload contains fileNameOverride, the override replaces the file name in the dynamic path; the GUID-based name is no longer used for that submission.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COB date is provided in the request, it is appended to the GUID. Otherwise, the run date is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file extension is provided in parameters, it is honoured. Otherwise, default to CSV.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file path must be stored per request_submission_file (not on the parent submission). Custom file name does not need to be stored separately — it overwrites the display / lookup name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Email-related parameters (DC email body, external file location) are covered in the new structure.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Scheduling — open question</w:t>
      </w:r>
    </w:p>
    <w:p>
      <w:pPr>
        <w:spacing w:after="120"/>
      </w:pPr>
      <w:r>
        <w:t xml:space="preserve">Existing schedules in production reference old submission IDs. After migration, those IDs no longer exist; the new request_submission table uses fresh sequences.</w:t>
      </w:r>
    </w:p>
    <w:p>
      <w:pPr>
        <w:spacing w:after="120"/>
      </w:pPr>
      <w:r>
        <w:rPr>
          <w:b/>
          <w:bCs/>
        </w:rPr>
        <w:t xml:space="preserve">Agreed approach: </w:t>
      </w:r>
      <w:r>
        <w:t xml:space="preserve">the user / schedule migration script runs in parallel with the request-submission migration. When it encounters an old ID, it waits for that submission to be migrated and then rewires the schedule association to the new submission ID.</w:t>
      </w:r>
    </w:p>
    <w:p>
      <w:pPr>
        <w:spacing w:after="120"/>
      </w:pPr>
      <w:r>
        <w:t xml:space="preserve">Kushal to confirm the concrete steps and edge cases (e.g. schedules associated with submissions that fail to migrate, or with submissions that have been logically deleted) and bring back a plan tomorrow.</w:t>
      </w:r>
    </w:p>
    <w:p>
      <w:pPr>
        <w:pStyle w:val="Heading1"/>
      </w:pPr>
      <w: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000"/>
        <w:gridCol w:w="1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Finish transmission service and add pivot functionality (single-file first)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the user / schedule migration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sprint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documentation covering GUID and custom file-name / path scenarios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sprint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concrete plan for scheduling migration (old → new submission IDs)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Kushal +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Demo: download from new system must produce identical file vs old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Tomorrow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Benchmark for sign-off</w:t>
      </w:r>
    </w:p>
    <w:p>
      <w:pPr>
        <w:spacing w:after="120"/>
      </w:pPr>
      <w:r>
        <w:rPr>
          <w:i/>
          <w:iCs/>
        </w:rPr>
        <w:t xml:space="preserve">A download triggered through the new DC 3.0 path must produce </w:t>
      </w:r>
      <w:r>
        <w:rPr>
          <w:b/>
          <w:bCs/>
          <w:i/>
          <w:iCs/>
        </w:rPr>
        <w:t xml:space="preserve">exactly the same file </w:t>
      </w:r>
      <w:r>
        <w:rPr>
          <w:i/>
          <w:iCs/>
        </w:rPr>
        <w:t xml:space="preserve">as the equivalent download through the legacy DC 2.0 path — same content, same name (per the rules above), same location.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2026-05-06T21:17:56.513Z</dcterms:created>
  <dcterms:modified xsi:type="dcterms:W3CDTF">2026-05-06T21:17:56.528Z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