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8"/>
        <w:jc w:val="center"/>
      </w:pPr>
      <w:r>
        <w:rPr>
          <w:rFonts w:ascii="Times New Roman" w:hAnsi="Times New Roman" w:eastAsia="Times New Roman"/>
          <w:b/>
          <w:i w:val="0"/>
          <w:sz w:val="32"/>
        </w:rPr>
        <w:t>SentinelOps: An AI-Assisted Desktop Platform for Evidence-Guided DevOps Delivery and Approval-Gated Recovery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R. Nivedha</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nivedha.cse@gmail.com</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P N Praveen</w:t>
            </w:r>
          </w:p>
          <w:p>
            <w:pPr>
              <w:spacing w:after="0"/>
              <w:jc w:val="center"/>
            </w:pPr>
            <w:r>
              <w:rPr>
                <w:rFonts w:ascii="Times New Roman" w:cs="Times New Roman" w:eastAsia="Times New Roman" w:hAnsi="Times New Roman"/>
                <w:b w:val="0"/>
                <w:i w:val="0"/>
                <w:iCs/>
                <w:sz w:val="18"/>
                <w:szCs w:val="18"/>
              </w:rPr>
              <w:t xml:space="preserve">Student</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ppraveen2150@gmail.com</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Subin VM</w:t>
            </w:r>
          </w:p>
          <w:p>
            <w:pPr>
              <w:spacing w:after="0"/>
              <w:jc w:val="center"/>
            </w:pPr>
            <w:r>
              <w:rPr>
                <w:rFonts w:ascii="Times New Roman" w:cs="Times New Roman" w:eastAsia="Times New Roman" w:hAnsi="Times New Roman"/>
                <w:b w:val="0"/>
                <w:i w:val="0"/>
                <w:iCs/>
                <w:sz w:val="18"/>
                <w:szCs w:val="18"/>
              </w:rPr>
              <w:t xml:space="preserve">Student</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subinvm@gmail.com</w:t>
            </w:r>
          </w:p>
        </w:tc>
      </w:tr>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S. Nivetha</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nivethacse555@sathyabama.ac.in</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Hemavathi</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hemavathi.s.cse@sathyabama.ac.in</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i w:val="0"/>
                <w:sz w:val="18"/>
                <w:szCs w:val="22"/>
              </w:rPr>
              <w:t xml:space="preserve">A. Annie Micheal</w:t>
            </w:r>
          </w:p>
          <w:p>
            <w:pPr>
              <w:spacing w:after="0"/>
              <w:jc w:val="center"/>
            </w:pPr>
            <w:r>
              <w:rPr>
                <w:rFonts w:ascii="Times New Roman" w:cs="Times New Roman" w:eastAsia="Times New Roman" w:hAnsi="Times New Roman"/>
                <w:b w:val="0"/>
                <w:i w:val="0"/>
                <w:iCs/>
                <w:sz w:val="18"/>
                <w:szCs w:val="18"/>
              </w:rPr>
              <w:t xml:space="preserve">Assistant Professor</w:t>
            </w:r>
          </w:p>
          <w:p>
            <w:pPr>
              <w:spacing w:after="0"/>
              <w:jc w:val="center"/>
            </w:pPr>
            <w:r>
              <w:rPr>
                <w:rFonts w:ascii="Times New Roman" w:cs="Times New Roman" w:eastAsia="Times New Roman" w:hAnsi="Times New Roman"/>
                <w:b w:val="0"/>
                <w:i w:val="0"/>
                <w:iCs/>
                <w:sz w:val="18"/>
                <w:szCs w:val="18"/>
              </w:rPr>
              <w:t xml:space="preserve">Dept. of Computer Science and Engineering,</w:t>
            </w:r>
          </w:p>
          <w:p>
            <w:pPr>
              <w:spacing w:after="0"/>
              <w:jc w:val="center"/>
            </w:pPr>
            <w:r>
              <w:rPr>
                <w:rFonts w:ascii="Times New Roman" w:cs="Times New Roman" w:eastAsia="Times New Roman" w:hAnsi="Times New Roman"/>
                <w:b w:val="0"/>
                <w:i w:val="0"/>
                <w:iCs/>
                <w:sz w:val="18"/>
                <w:szCs w:val="18"/>
              </w:rPr>
              <w:t xml:space="preserve">Sathyabama Institute of Science and Technology, Chennai, India</w:t>
            </w:r>
          </w:p>
          <w:p>
            <w:pPr>
              <w:spacing w:after="0"/>
              <w:jc w:val="center"/>
            </w:pPr>
            <w:r>
              <w:rPr>
                <w:rFonts w:ascii="Times New Roman" w:cs="Courier New" w:eastAsia="Times New Roman" w:hAnsi="Times New Roman"/>
                <w:b w:val="0"/>
                <w:i w:val="0"/>
                <w:sz w:val="18"/>
                <w:szCs w:val="17"/>
              </w:rPr>
              <w:t xml:space="preserve">annymick@hmail.com</w:t>
            </w:r>
          </w:p>
        </w:tc>
      </w:tr>
    </w:tbl>
    <w:p>
      <w:pPr>
        <w:spacing w:after="60" w:line="240" w:lineRule="auto"/>
        <w:jc w:val="both"/>
      </w:pPr>
    </w:p>
    <w:p>
      <w:pPr>
        <w:spacing w:after="60" w:line="240" w:lineRule="auto"/>
        <w:jc w:val="both"/>
        <w:sectPr>
          <w:footerReference w:type="default" r:id="rId7"/>
          <w:type w:val="continuous"/>
          <w:pgSz w:w="12240" w:h="15840" w:orient="portrait"/>
          <w:pgMar w:top="1080" w:right="1080" w:bottom="1080" w:left="1080" w:header="708" w:footer="600" w:gutter="0"/>
          <w:pgNumType/>
          <w:docGrid w:linePitch="360"/>
          <w:cols w:space="720"/>
        </w:sectPr>
      </w:pPr>
    </w:p>
    <w:p>
      <w:pPr>
        <w:spacing w:after="80" w:line="240" w:lineRule="auto"/>
        <w:jc w:val="both"/>
      </w:pPr>
      <w:r>
        <w:rPr>
          <w:rFonts w:ascii="Times New Roman" w:hAnsi="Times New Roman" w:eastAsia="Times New Roman"/>
          <w:b/>
          <w:i/>
          <w:sz w:val="18"/>
        </w:rPr>
        <w:t>Abstract—Student and small-team projects often run locally but lack a clear path to repeatable delivery. SentinelOps is a desktop application that inspects a Git repository, identifies the observable stack and service layout, and presents its findings for user review. After a selected service is validated locally, the application can generate Docker and Compose assets, CI/CD templates, Kubernetes manifests, and starter monitoring configuration. Its recommendation component proposes delivery options and explains common errors, while an approval gate prevents it from changing a running environment without user confirmation. This paper describes the design, implementation boundaries, operational workflow, and evaluation plan for SentinelOps. It reports no benchmark results; the evaluation section defines how repository detection and operational transparency can be measured in future work.</w:t>
      </w:r>
    </w:p>
    <w:p>
      <w:pPr>
        <w:spacing w:after="80" w:line="240" w:lineRule="auto"/>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val="0"/>
          <w:bCs/>
          <w:i/>
          <w:sz w:val="18"/>
          <w:szCs w:val="18"/>
        </w:rPr>
        <w:t xml:space="preserve">DevOps automation, AIOps, self-healing systems, repository analysis, CI/CD, containerization, Kubernetes, observability.</w:t>
      </w:r>
    </w:p>
    <w:p>
      <w:pPr>
        <w:pStyle w:val="Heading1"/>
        <w:keepNext/>
        <w:spacing w:after="60" w:before="120"/>
        <w:jc w:val="center"/>
      </w:pPr>
      <w:r>
        <w:rPr>
          <w:rFonts w:ascii="Times New Roman" w:hAnsi="Times New Roman" w:eastAsia="Times New Roman"/>
          <w:b/>
          <w:i w:val="0"/>
          <w:sz w:val="22"/>
        </w:rPr>
        <w:t>I. INTRODUCTION</w:t>
      </w:r>
    </w:p>
    <w:p>
      <w:pPr>
        <w:spacing w:after="60" w:line="240" w:lineRule="auto"/>
        <w:ind w:firstLine="245"/>
        <w:jc w:val="both"/>
      </w:pPr>
      <w:r>
        <w:rPr>
          <w:rFonts w:ascii="Times New Roman" w:hAnsi="Times New Roman" w:eastAsia="Times New Roman"/>
          <w:b w:val="0"/>
          <w:i w:val="0"/>
          <w:sz w:val="18"/>
        </w:rPr>
        <w:t>AI is increasingly used to support software delivery decisions [1], but many student projects still stop at a local start command. Packaging, continuous integration, deployment selection, and service monitoring depend on information scattered across manifests, scripts, environment files, and folder structure. A developer unfamiliar with a repository can easily miss that a React client and an API require separate processes. Continuous delivery treats build, test, and deployment as one repeatable workflow rather than a final manual task [2].</w:t>
      </w:r>
    </w:p>
    <w:p>
      <w:pPr>
        <w:spacing w:after="60" w:line="240" w:lineRule="auto"/>
        <w:ind w:firstLine="245"/>
        <w:jc w:val="both"/>
      </w:pPr>
      <w:r>
        <w:rPr>
          <w:rFonts w:ascii="Times New Roman" w:hAnsi="Times New Roman" w:eastAsia="Times New Roman"/>
          <w:b w:val="0"/>
          <w:i w:val="0"/>
          <w:sz w:val="18"/>
        </w:rPr>
        <w:t>SentinelOps addresses this gap with an evidence-first desktop workflow. It can inspect, generate, validate, and diagnose, but it does not change a running environment unless the user approves the action. Repository evidence is collected first and shown as an editable project model. The optional language-model recommender can suggest a stack, profile, or explanation, but it remains constrained by that model. This ordering makes each recommendation traceable and gives the project owner a chance to correct a command or technology choice before delivery assets are created.</w:t>
      </w:r>
    </w:p>
    <w:p>
      <w:pPr>
        <w:spacing w:after="60" w:line="240" w:lineRule="auto"/>
        <w:ind w:firstLine="245"/>
        <w:jc w:val="both"/>
      </w:pPr>
      <w:r>
        <w:rPr>
          <w:rFonts w:ascii="Times New Roman" w:hAnsi="Times New Roman" w:eastAsia="Times New Roman"/>
          <w:b w:val="0"/>
          <w:i w:val="0"/>
          <w:sz w:val="18"/>
        </w:rPr>
        <w:t>The contribution of this work is a transparent path from repository inspection to reviewed delivery assets. SentinelOps separates local validation from asset generation so a broken application is visible early. It also records delivery choices, health signals, and proposed recovery actions for inspection. The remaining sections describe the related work, architecture, implementation, delivery workflow, monitoring design, evaluation plan, limitations, and conclusion.</w:t>
      </w:r>
    </w:p>
    <w:p>
      <w:pPr>
        <w:pStyle w:val="Heading1"/>
        <w:keepNext/>
        <w:spacing w:after="60" w:before="120"/>
        <w:jc w:val="center"/>
      </w:pPr>
      <w:r>
        <w:rPr>
          <w:rFonts w:ascii="Times New Roman" w:hAnsi="Times New Roman" w:eastAsia="Times New Roman"/>
          <w:b/>
          <w:i w:val="0"/>
          <w:sz w:val="22"/>
        </w:rPr>
        <w:t>II. RELATED WORK AND MOTIVATION</w:t>
      </w:r>
    </w:p>
    <w:p>
      <w:pPr>
        <w:pStyle w:val="Heading2"/>
        <w:keepNext/>
        <w:spacing w:after="40" w:before="80"/>
        <w:jc w:val="left"/>
      </w:pPr>
      <w:r>
        <w:rPr>
          <w:rFonts w:ascii="Times New Roman" w:cs="Times New Roman" w:eastAsia="Times New Roman" w:hAnsi="Times New Roman"/>
          <w:b/>
          <w:i/>
          <w:iCs/>
          <w:sz w:val="18"/>
          <w:szCs w:val="20"/>
        </w:rPr>
        <w:t xml:space="preserve">A. Continuous Delivery and Containers</w:t>
      </w:r>
    </w:p>
    <w:p>
      <w:pPr>
        <w:spacing w:after="60" w:line="240" w:lineRule="auto"/>
        <w:ind w:firstLine="245"/>
        <w:jc w:val="both"/>
      </w:pPr>
      <w:r>
        <w:rPr>
          <w:rFonts w:ascii="Times New Roman" w:cs="Times New Roman" w:eastAsia="Times New Roman" w:hAnsi="Times New Roman"/>
          <w:b w:val="0"/>
          <w:i w:val="0"/>
          <w:sz w:val="18"/>
          <w:szCs w:val="20"/>
        </w:rPr>
        <w:t xml:space="preserve">Continuous delivery is usually defined as the ability to keep software in a releasable state through automated build, test and deployment [2]. Small projects, however, often begin with nothing more than a source repository and a local start command. The distance from there to a repeatable delivery process is larger than it looks. It covers dependency installation, environment configuration, packaging, test selection, image publishing, the choice of a deployment target and operational visibility, and each step depends on details that may be only implicit in the code.</w:t>
      </w:r>
    </w:p>
    <w:p>
      <w:pPr>
        <w:spacing w:after="60" w:line="240" w:lineRule="auto"/>
        <w:ind w:firstLine="245"/>
        <w:jc w:val="both"/>
      </w:pPr>
      <w:r>
        <w:rPr>
          <w:rFonts w:ascii="Times New Roman" w:cs="Times New Roman" w:eastAsia="Times New Roman" w:hAnsi="Times New Roman"/>
          <w:b w:val="0"/>
          <w:i w:val="0"/>
          <w:sz w:val="18"/>
          <w:szCs w:val="20"/>
        </w:rPr>
        <w:t xml:space="preserve">Containers take care of one part of the problem. They bundle an application with its runtime dependencies, and the Docker model has been widely adopted to narrow the differences between developer machines and deployment hosts [3]. A Dockerfile, though, cannot be written safely from a file extension alone. A front-end project may need a build stage and a static server, while an API may need a process manager, a database connection and a health endpoint. For that reason SentinelOps treats every container template as a draft for review.</w:t>
      </w:r>
    </w:p>
    <w:p>
      <w:pPr>
        <w:pStyle w:val="Heading2"/>
        <w:keepNext/>
        <w:spacing w:after="40" w:before="80"/>
        <w:jc w:val="left"/>
      </w:pPr>
      <w:r>
        <w:rPr>
          <w:rFonts w:ascii="Times New Roman" w:cs="Times New Roman" w:eastAsia="Times New Roman" w:hAnsi="Times New Roman"/>
          <w:b/>
          <w:i/>
          <w:iCs/>
          <w:sz w:val="18"/>
          <w:szCs w:val="20"/>
        </w:rPr>
        <w:t xml:space="preserve">B. Observability and Scaling</w:t>
      </w:r>
    </w:p>
    <w:p>
      <w:pPr>
        <w:spacing w:after="60" w:line="240" w:lineRule="auto"/>
        <w:ind w:firstLine="245"/>
        <w:jc w:val="both"/>
      </w:pPr>
      <w:r>
        <w:rPr>
          <w:rFonts w:ascii="Times New Roman" w:hAnsi="Times New Roman" w:eastAsia="Times New Roman"/>
          <w:b w:val="0"/>
          <w:i w:val="0"/>
          <w:sz w:val="18"/>
        </w:rPr>
        <w:t>Observability supplies evidence once an application is running. Prometheus collects time-series metrics from selected targets, Grafana presents those signals in dashboards, and a Kubernetes Horizontal Pod Autoscaler can adjust replica counts from configured metrics. These tools are useful only when their assumptions are visible. A dashboard with no reachable target, or an autoscaler fed by unreliable metrics, does not make a service safer.</w:t>
      </w:r>
    </w:p>
    <w:p>
      <w:pPr>
        <w:pStyle w:val="Heading2"/>
        <w:keepNext/>
        <w:spacing w:after="60" w:before="120"/>
        <w:jc w:val="center"/>
      </w:pPr>
      <w:r>
        <w:rPr>
          <w:rFonts w:ascii="Times New Roman" w:cs="Times New Roman" w:eastAsia="Times New Roman" w:hAnsi="Times New Roman"/>
          <w:b/>
          <w:i w:val="0"/>
          <w:iCs/>
          <w:sz w:val="22"/>
          <w:szCs w:val="20"/>
        </w:rPr>
        <w:t xml:space="preserve">C. AI-Driven DevOps and Project Scope</w:t>
      </w:r>
    </w:p>
    <w:p>
      <w:pPr>
        <w:spacing w:after="60" w:line="240" w:lineRule="auto"/>
        <w:ind w:firstLine="245"/>
        <w:jc w:val="both"/>
      </w:pPr>
      <w:r>
        <w:rPr>
          <w:rFonts w:ascii="Times New Roman" w:hAnsi="Times New Roman" w:eastAsia="Times New Roman"/>
          <w:b w:val="0"/>
          <w:i w:val="0"/>
          <w:sz w:val="18"/>
        </w:rPr>
        <w:t>Research on AI-driven DevOps examines decision support, predictive pipeline improvement, and increasingly autonomous operational workflows [1], [4]-[18]. SentinelOps uses these ideas conservatively. Its recommendation layer proposes a stack or delivery profile, a health-and-threshold loop identifies abnormal conditions, and a recovery step proposes a runbook action. Repository evidence, generated files, commands, and warnings remain visible, while actions that change state wait for approval. This is appropriate for project work, where students must explain their design choices during demonstrations and reviews.</w:t>
      </w:r>
    </w:p>
    <w:p>
      <w:pPr>
        <w:spacing w:after="60" w:line="240" w:lineRule="auto"/>
        <w:ind w:firstLine="245"/>
        <w:jc w:val="both"/>
      </w:pPr>
      <w:r>
        <w:rPr>
          <w:rFonts w:ascii="Times New Roman" w:cs="Times New Roman" w:eastAsia="Times New Roman" w:hAnsi="Times New Roman"/>
          <w:b w:val="0"/>
          <w:i w:val="0"/>
          <w:sz w:val="18"/>
          <w:szCs w:val="20"/>
        </w:rPr>
        <w:t xml:space="preserve">The question addressed here is a practical one: how can a desktop application lead an unknown Git repository along a transparent path from inspection to locally validated delivery assets, and then to supervised operations? The answer is neither a single model nor a single deployment target. It is a chain of evidence-based modules with clear handoffs and a point at which the user can correct anything the tool is unsure about.</w:t>
      </w:r>
    </w:p>
    <w:p>
      <w:pPr>
        <w:spacing w:after="60" w:line="240" w:lineRule="auto"/>
        <w:ind w:firstLine="245"/>
        <w:jc w:val="both"/>
      </w:pPr>
      <w:r>
        <w:rPr>
          <w:rFonts w:ascii="Times New Roman" w:hAnsi="Times New Roman" w:eastAsia="Times New Roman"/>
          <w:b w:val="0"/>
          <w:i w:val="0"/>
          <w:sz w:val="18"/>
        </w:rPr>
        <w:t>The prototype uses established delivery practice. Continuous delivery provides the workflow foundation [2], while Docker supports portable container packaging [3]. The project treats infrastructure and pipeline files as reviewable artifacts rather than opaque automation. AI-assisted and agent-oriented DevOps studies motivate the recommendation layer, but they do not replace project-owner review [4]-[18].</w:t>
      </w:r>
    </w:p>
    <w:p>
      <w:pPr>
        <w:pStyle w:val="Heading2"/>
        <w:keepNext/>
        <w:spacing w:after="60" w:before="120"/>
        <w:jc w:val="center"/>
      </w:pPr>
      <w:r>
        <w:rPr>
          <w:rFonts w:ascii="Times New Roman" w:cs="Times New Roman" w:eastAsia="Times New Roman" w:hAnsi="Times New Roman"/>
          <w:b/>
          <w:i w:val="0"/>
          <w:iCs/>
          <w:sz w:val="22"/>
          <w:szCs w:val="20"/>
        </w:rPr>
        <w:t xml:space="preserve">D. Security and Provenance</w:t>
      </w:r>
    </w:p>
    <w:p>
      <w:pPr>
        <w:spacing w:after="60" w:line="240" w:lineRule="auto"/>
        <w:ind w:firstLine="245"/>
        <w:jc w:val="both"/>
      </w:pPr>
      <w:r>
        <w:rPr>
          <w:rFonts w:ascii="Times New Roman" w:hAnsi="Times New Roman" w:eastAsia="Times New Roman"/>
          <w:b w:val="0"/>
          <w:i w:val="0"/>
          <w:sz w:val="18"/>
        </w:rPr>
        <w:t>Security and provenance are design constraints, not claims the tool makes on its own. DevOps security research identifies the need to integrate security practices with delivery work [19]. Containerization literature explains the operational value and risks of packaging an application with its dependencies [20], while NIST guidance covers container security [21] and the Secure Software Development Framework defines secure-development recommendations [22]. Software bills of materials and infrastructure-as-code research further support transparent, reviewable delivery assets [23], [24]. Every generated artifact remains editable and requires project-owner review.</w:t>
      </w:r>
    </w:p>
    <w:p>
      <w:pPr>
        <w:pStyle w:val="Heading1"/>
        <w:keepNext/>
        <w:spacing w:after="60" w:before="120"/>
        <w:jc w:val="center"/>
      </w:pPr>
      <w:r>
        <w:rPr>
          <w:rFonts w:ascii="Times New Roman" w:hAnsi="Times New Roman" w:eastAsia="Times New Roman"/>
          <w:b/>
          <w:i w:val="0"/>
          <w:sz w:val="22"/>
        </w:rPr>
        <w:t>III. DESIGN GOALS AND SCOPE</w:t>
      </w:r>
    </w:p>
    <w:p>
      <w:pPr>
        <w:spacing w:after="60" w:line="240" w:lineRule="auto"/>
        <w:ind w:firstLine="245"/>
        <w:jc w:val="both"/>
      </w:pPr>
      <w:r>
        <w:rPr>
          <w:rFonts w:ascii="Times New Roman" w:cs="Times New Roman" w:eastAsia="Times New Roman" w:hAnsi="Times New Roman"/>
          <w:b w:val="0"/>
          <w:i w:val="0"/>
          <w:sz w:val="18"/>
          <w:szCs w:val="20"/>
        </w:rPr>
        <w:t xml:space="preserve">SentinelOps was built around five design goals. The first is to recognize common project shapes without assuming that a repository holds a single service. The second is to keep local verification apart from deployment generation, so that a broken application shows up early. The third is to produce ordinary, editable artifacts instead of hiding configuration behind a graphical interface. The fourth is to keep changes to the host machine small: Docker Desktop is checked as an external prerequisite on Windows and is never installed by the application. The fifth is to make operational choices visible through a deployment profile, health checks, scaling settings and an observability plan.</w:t>
      </w:r>
    </w:p>
    <w:p>
      <w:pPr>
        <w:spacing w:after="60" w:line="240" w:lineRule="auto"/>
        <w:ind w:firstLine="245"/>
        <w:jc w:val="both"/>
      </w:pPr>
      <w:r>
        <w:rPr>
          <w:rFonts w:ascii="Times New Roman" w:cs="Times New Roman" w:eastAsia="Times New Roman" w:hAnsi="Times New Roman"/>
          <w:b w:val="0"/>
          <w:i w:val="0"/>
          <w:sz w:val="18"/>
          <w:szCs w:val="20"/>
        </w:rPr>
        <w:t xml:space="preserve">The prototype targets Node.js, React, Next.js, Vue, Angular, Python, Flask, FastAPI, Django, Go and Rust projects. Its detector examines package manifests, lock files, framework dependencies, source layout, scripts, ports and existing container configuration. The result is a proposed model, not a guarantee. Before proceeding, the user can edit the detected language, framework, service type, runtime commands, ports and CI provider.</w:t>
      </w:r>
    </w:p>
    <w:p>
      <w:pPr>
        <w:spacing w:after="60" w:line="240" w:lineRule="auto"/>
        <w:ind w:firstLine="245"/>
        <w:jc w:val="both"/>
      </w:pPr>
      <w:r>
        <w:rPr>
          <w:rFonts w:ascii="Times New Roman" w:cs="Times New Roman" w:eastAsia="Times New Roman" w:hAnsi="Times New Roman"/>
          <w:b w:val="0"/>
          <w:i w:val="0"/>
          <w:sz w:val="18"/>
          <w:szCs w:val="20"/>
        </w:rPr>
        <w:t xml:space="preserve">Because the title promises autonomy, the scope of that autonomy is stated in Table I. Four levels are defined. Levels L0 and L1 run without further prompting, since they only read files, produce text or run commands the user has already reviewed. Level L2 covers actions on the local machine and needs approval for each action. Level L3 covers remote and production changes; it lies outside the prototype and is listed only to mark where the boundary sits.</w:t>
      </w:r>
    </w:p>
    <w:p>
      <w:pPr>
        <w:keepNext/>
        <w:spacing w:after="60" w:before="40"/>
        <w:jc w:val="center"/>
      </w:pPr>
      <w:r>
        <w:rPr>
          <w:rFonts w:ascii="Times New Roman" w:hAnsi="Times New Roman" w:eastAsia="Times New Roman"/>
          <w:b/>
          <w:i w:val="0"/>
          <w:sz w:val="18"/>
        </w:rPr>
        <w:t>Table 1. Levels of Autonomy in SentinelOps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1250"/>
        <w:gridCol w:w="2200"/>
        <w:gridCol w:w="1150"/>
      </w:tblGrid>
      <w:tr>
        <w:trPr>
          <w:cantSplit/>
          <w:tblHeader/>
        </w:trPr>
        <w:tc>
          <w:tcPr>
            <w:tcW w:type="dxa" w:w="62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Level</w:t>
            </w:r>
          </w:p>
        </w:tc>
        <w:tc>
          <w:tcPr>
            <w:tcW w:type="dxa" w:w="12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Scope</w:t>
            </w:r>
          </w:p>
        </w:tc>
        <w:tc>
          <w:tcPr>
            <w:tcW w:type="dxa" w:w="220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Examples</w:t>
            </w:r>
          </w:p>
        </w:tc>
        <w:tc>
          <w:tcPr>
            <w:tcW w:type="dxa" w:w="11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Approval</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L0</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Observe and propose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Repository inspection, stack detection, file generation, recommendations</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Not needed</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L1</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Validate locally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Dependency install, service start, health probe</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User reviews commands first</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L2</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Act locally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Restart or stop a process, return to an earlier generated configuration</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Required for each action</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L3</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Act remotely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Image push, cluster deployment, cluster scaling</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Out of scope</w:t>
            </w:r>
          </w:p>
        </w:tc>
      </w:tr>
    </w:tbl>
    <w:p>
      <w:pPr>
        <w:spacing w:after="60" w:line="240" w:lineRule="auto"/>
        <w:jc w:val="both"/>
      </w:pPr>
    </w:p>
    <w:p>
      <w:pPr>
        <w:pStyle w:val="Heading1"/>
        <w:keepNext/>
        <w:spacing w:after="60" w:before="120"/>
        <w:jc w:val="center"/>
      </w:pPr>
      <w:r>
        <w:rPr>
          <w:rFonts w:ascii="Times New Roman" w:hAnsi="Times New Roman" w:eastAsia="Times New Roman"/>
          <w:b/>
          <w:i w:val="0"/>
          <w:sz w:val="22"/>
        </w:rPr>
        <w:t>IV. SYSTEM ARCHITECTURE</w:t>
      </w:r>
    </w:p>
    <w:p>
      <w:pPr>
        <w:spacing w:after="60" w:line="240" w:before="40" w:lineRule="auto"/>
        <w:ind w:firstLine="245"/>
        <w:jc w:val="both"/>
      </w:pPr>
      <w:r>
        <w:rPr>
          <w:rFonts w:ascii="Times New Roman" w:cs="Times New Roman" w:eastAsia="Times New Roman" w:hAnsi="Times New Roman"/>
          <w:b w:val="0"/>
          <w:i w:val="0"/>
          <w:sz w:val="18"/>
          <w:szCs w:val="20"/>
        </w:rPr>
        <w:t xml:space="preserve">Fig. 1 shows the layered design. A desktop interface sits on top, an orchestration layer holds the project state and the approval gate, a set of single-purpose modules does the work, and the external tools it relies on sit at the bottom. Repository intake produces a local workspace together with Git metadata, and the analysis module builds an evidence-backed project model from them. Local verification follows. It installs the declared dependencies, starts the service with the selected command, probes a health endpoint when one exists and records the URLs a user can open in a browser. The asset generator prepares container, pipeline, deployment and monitoring files only after that gate has been passed.</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2857500" cy="3609975"/>
            <wp:effectExtent t="0" r="0" b="0" l="0"/>
            <wp:docPr id="1" name="fig1_architecture" descr="Layered architecture of SentinelOps. Amber modules use a language model; all others are deterministic."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609975"/>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1. Layered architecture of SentinelOps. Amber modules use a language model; all others are deterministic.</w:t>
      </w:r>
    </w:p>
    <w:p>
      <w:pPr>
        <w:spacing w:after="60" w:line="240" w:lineRule="auto"/>
        <w:ind w:firstLine="245"/>
        <w:jc w:val="both"/>
      </w:pPr>
      <w:r>
        <w:rPr>
          <w:rFonts w:ascii="Times New Roman" w:hAnsi="Times New Roman" w:eastAsia="Times New Roman"/>
          <w:b w:val="0"/>
          <w:i w:val="0"/>
          <w:sz w:val="18"/>
        </w:rPr>
        <w:t>The orchestration layer does not replace a production platform. It coordinates choices made by the user. A local profile can favor a native process for early testing, while a container profile generates Compose assets for a reproducible local environment. The Kubernetes profile adds a Deployment, a Service, and a HorizontalPodAutoscaler manifest. SentinelOps presents scaling thresholds as a policy to be reviewed, never as an unexplained automatic action.</w:t>
      </w:r>
    </w:p>
    <w:p>
      <w:pPr>
        <w:pStyle w:val="Heading2"/>
        <w:keepNext/>
        <w:spacing w:after="40" w:before="80"/>
        <w:jc w:val="left"/>
      </w:pPr>
      <w:r>
        <w:rPr>
          <w:rFonts w:ascii="Times New Roman" w:cs="Times New Roman" w:eastAsia="Times New Roman" w:hAnsi="Times New Roman"/>
          <w:b/>
          <w:i/>
          <w:iCs/>
          <w:sz w:val="18"/>
          <w:szCs w:val="20"/>
        </w:rPr>
        <w:t xml:space="preserve">A. Project State Model</w:t>
      </w:r>
    </w:p>
    <w:p>
      <w:pPr>
        <w:spacing w:after="60" w:line="240" w:lineRule="auto"/>
        <w:ind w:firstLine="245"/>
        <w:jc w:val="both"/>
      </w:pPr>
      <w:r>
        <w:rPr>
          <w:rFonts w:ascii="Times New Roman" w:cs="Times New Roman" w:eastAsia="Times New Roman" w:hAnsi="Times New Roman"/>
          <w:b w:val="0"/>
          <w:i w:val="0"/>
          <w:sz w:val="18"/>
          <w:szCs w:val="20"/>
        </w:rPr>
        <w:t xml:space="preserve">Every project moves through the sequence of states drawn in Fig. 2. The initial state holds a repository address and a project name. Once the repository is cloned, the model gains metadata such as the remote URL, current branch, commit identifier, file inventory and detected components. The review state records the commands, ports and target profile chosen by the user. The validated state adds command output, a health result and local URLs, and the generated state stores the locations of the Docker, pipeline, deployment and monitoring files. Keeping these transitions gives the user a short history of how a delivery decision was reached.</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2438400"/>
            <wp:effectExtent t="0" r="0" b="0" l="0"/>
            <wp:docPr id="1" name="fig2_states" descr="Project state model with forward transitions and recovery path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43840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2. Project state model with forward transitions and recovery paths.</w:t>
      </w:r>
    </w:p>
    <w:p>
      <w:pPr>
        <w:pStyle w:val="Heading2"/>
        <w:keepNext/>
        <w:spacing w:after="40" w:before="80"/>
        <w:jc w:val="left"/>
      </w:pPr>
      <w:r>
        <w:rPr>
          <w:rFonts w:ascii="Times New Roman" w:cs="Times New Roman" w:eastAsia="Times New Roman" w:hAnsi="Times New Roman"/>
          <w:b/>
          <w:i/>
          <w:iCs/>
          <w:sz w:val="18"/>
          <w:szCs w:val="20"/>
        </w:rPr>
        <w:t xml:space="preserve">B. State-Oriented Interface</w:t>
      </w:r>
    </w:p>
    <w:p>
      <w:pPr>
        <w:spacing w:after="60" w:line="240" w:lineRule="auto"/>
        <w:ind w:firstLine="245"/>
        <w:jc w:val="both"/>
      </w:pPr>
      <w:r>
        <w:rPr>
          <w:rFonts w:ascii="Times New Roman" w:cs="Times New Roman" w:eastAsia="Times New Roman" w:hAnsi="Times New Roman"/>
          <w:b w:val="0"/>
          <w:i w:val="0"/>
          <w:sz w:val="18"/>
          <w:szCs w:val="20"/>
        </w:rPr>
        <w:t xml:space="preserve">The desktop interface is organized around these states instead of forcing the user through a hidden linear wizard. A repository can be analyzed again after a correction, and a generated plan can be modified without cloning the project a second time. This matters when a repository uses a nonstandard script name, a custom port or a monorepo layout. The user should be able to repair the model at the point where an assumption is wrong, rather than editing a downstream file and losing the link to the original evidence.</w:t>
      </w:r>
    </w:p>
    <w:p>
      <w:pPr>
        <w:pStyle w:val="Heading2"/>
        <w:keepNext/>
        <w:spacing w:after="60" w:before="120"/>
        <w:jc w:val="center"/>
      </w:pPr>
      <w:r>
        <w:rPr>
          <w:rFonts w:ascii="Times New Roman" w:cs="Times New Roman" w:eastAsia="Times New Roman" w:hAnsi="Times New Roman"/>
          <w:b/>
          <w:i w:val="0"/>
          <w:iCs/>
          <w:sz w:val="22"/>
          <w:szCs w:val="20"/>
        </w:rPr>
        <w:t xml:space="preserve">C. Handling of Private Information</w:t>
      </w:r>
    </w:p>
    <w:p>
      <w:pPr>
        <w:spacing w:after="60" w:line="240" w:lineRule="auto"/>
        <w:ind w:firstLine="245"/>
        <w:jc w:val="both"/>
      </w:pPr>
      <w:r>
        <w:rPr>
          <w:rFonts w:ascii="Times New Roman" w:cs="Times New Roman" w:eastAsia="Times New Roman" w:hAnsi="Times New Roman"/>
          <w:b w:val="0"/>
          <w:i w:val="0"/>
          <w:sz w:val="18"/>
          <w:szCs w:val="20"/>
        </w:rPr>
        <w:t xml:space="preserve">Private information is kept apart from generated configuration. Source URLs and local paths may be stored in the project record, but registry credentials, deployment secrets and cluster tokens are never guessed by the detector. If a later integration needs such values, it should request them through the interface and pass them on through secure, host-specific storage. This separation lowers the chance that generated examples encourage users to commit secrets to a repository.</w:t>
      </w:r>
    </w:p>
    <w:p>
      <w:pPr>
        <w:pStyle w:val="Heading1"/>
        <w:keepNext/>
        <w:spacing w:after="60" w:before="120"/>
        <w:jc w:val="center"/>
      </w:pPr>
      <w:r>
        <w:rPr>
          <w:rFonts w:ascii="Times New Roman" w:hAnsi="Times New Roman" w:eastAsia="Times New Roman"/>
          <w:b/>
          <w:i w:val="0"/>
          <w:sz w:val="22"/>
        </w:rPr>
        <w:t>V. IMPLEMENTATION DETAILS</w:t>
      </w:r>
    </w:p>
    <w:p>
      <w:pPr>
        <w:pStyle w:val="Heading2"/>
        <w:keepNext/>
        <w:spacing w:after="40" w:before="80"/>
        <w:jc w:val="left"/>
      </w:pPr>
      <w:r>
        <w:rPr>
          <w:rFonts w:ascii="Times New Roman" w:cs="Times New Roman" w:eastAsia="Times New Roman" w:hAnsi="Times New Roman"/>
          <w:b/>
          <w:i/>
          <w:iCs/>
          <w:sz w:val="18"/>
          <w:szCs w:val="20"/>
        </w:rPr>
        <w:t xml:space="preserve">A. Repository Intake and Detection</w:t>
      </w:r>
    </w:p>
    <w:p>
      <w:pPr>
        <w:spacing w:after="60" w:line="240" w:lineRule="auto"/>
        <w:ind w:firstLine="245"/>
        <w:jc w:val="both"/>
      </w:pPr>
      <w:r>
        <w:rPr>
          <w:rFonts w:ascii="Times New Roman" w:cs="Times New Roman" w:eastAsia="Times New Roman" w:hAnsi="Times New Roman"/>
          <w:b w:val="0"/>
          <w:i w:val="0"/>
          <w:sz w:val="18"/>
          <w:szCs w:val="20"/>
        </w:rPr>
        <w:t xml:space="preserve">The application is built around a small set of modules, summarized in Table II. The Git module clones a repository into a project-specific directory and, after confirmation, can delete that cloned workspace. The detector reads repository files and draws its findings only from observable evidence. When it finds independent package manifests or framework signatures, it reports the client and server directories separately, which lets the interface show two start commands and two local addresses for a project that needs them.</w:t>
      </w:r>
    </w:p>
    <w:p>
      <w:pPr>
        <w:keepNext/>
        <w:spacing w:after="60" w:before="40"/>
        <w:jc w:val="center"/>
      </w:pPr>
      <w:r>
        <w:rPr>
          <w:rFonts w:ascii="Times New Roman" w:hAnsi="Times New Roman" w:eastAsia="Times New Roman"/>
          <w:b/>
          <w:i w:val="0"/>
          <w:sz w:val="18"/>
        </w:rPr>
        <w:t>Table 2. SentinelOps Modules and Their Outputs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3770"/>
      </w:tblGrid>
      <w:tr>
        <w:trPr>
          <w:cantSplit/>
          <w:tblHeader/>
        </w:trPr>
        <w:tc>
          <w:tcPr>
            <w:tcW w:type="dxa" w:w="14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Module</w:t>
            </w:r>
          </w:p>
        </w:tc>
        <w:tc>
          <w:tcPr>
            <w:tcW w:type="dxa" w:w="37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Output or decision</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Repository intake</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Cloned workspace, commit metadata and project inventory</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Stack analysis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Editable language, framework, package and front-end/back-end findings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Verification</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Install and start commands, health result and local access URLs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Delivery assets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Dockerfile, Compose file, CI workflow, Jenkinsfile or GitLab pipeline</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Operations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Deployment profile, HPA manifest, Prometheus configuration, dashboard JSON and runbook</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Recommendation</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Stack, profile and error explanations with evidence and confidence notes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Maintenance</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Runbook suggestions and approval requests for corrective actions</w:t>
            </w:r>
          </w:p>
        </w:tc>
      </w:tr>
    </w:tbl>
    <w:p>
      <w:pPr>
        <w:spacing w:after="60" w:line="240" w:lineRule="auto"/>
        <w:jc w:val="both"/>
      </w:pPr>
    </w:p>
    <w:p>
      <w:pPr>
        <w:spacing w:after="60" w:line="240" w:lineRule="auto"/>
        <w:ind w:firstLine="245"/>
        <w:jc w:val="both"/>
      </w:pPr>
      <w:r>
        <w:rPr>
          <w:rFonts w:ascii="Times New Roman" w:cs="Times New Roman" w:eastAsia="Times New Roman" w:hAnsi="Times New Roman"/>
          <w:b w:val="0"/>
          <w:i w:val="0"/>
          <w:sz w:val="18"/>
          <w:szCs w:val="20"/>
        </w:rPr>
        <w:t xml:space="preserve">Analysis begins with the files that state project intent explicitly (Fig. 3). For JavaScript and TypeScript projects, the detector reads </w:t>
      </w:r>
      <w:r>
        <w:rPr>
          <w:rFonts w:ascii="Times New Roman" w:cs="Courier New" w:eastAsia="Times New Roman" w:hAnsi="Times New Roman"/>
          <w:b w:val="0"/>
          <w:i w:val="0"/>
          <w:sz w:val="18"/>
          <w:szCs w:val="18"/>
        </w:rPr>
        <w:t xml:space="preserve">package.json</w:t>
      </w:r>
      <w:r>
        <w:rPr>
          <w:rFonts w:ascii="Times New Roman" w:cs="Times New Roman" w:eastAsia="Times New Roman" w:hAnsi="Times New Roman"/>
          <w:b w:val="0"/>
          <w:i w:val="0"/>
          <w:sz w:val="18"/>
          <w:szCs w:val="20"/>
        </w:rPr>
        <w:t xml:space="preserve">, lock files, declared scripts and framework dependencies. For Python projects it examines requirements files, </w:t>
      </w:r>
      <w:r>
        <w:rPr>
          <w:rFonts w:ascii="Times New Roman" w:cs="Courier New" w:eastAsia="Times New Roman" w:hAnsi="Times New Roman"/>
          <w:b w:val="0"/>
          <w:i w:val="0"/>
          <w:sz w:val="18"/>
          <w:szCs w:val="18"/>
        </w:rPr>
        <w:t xml:space="preserve">pyproject</w:t>
      </w:r>
      <w:r>
        <w:rPr>
          <w:rFonts w:ascii="Times New Roman" w:cs="Times New Roman" w:eastAsia="Times New Roman" w:hAnsi="Times New Roman"/>
          <w:b w:val="0"/>
          <w:i w:val="0"/>
          <w:sz w:val="18"/>
          <w:szCs w:val="20"/>
        </w:rPr>
        <w:t xml:space="preserve"> metadata, common entry files and framework imports. Comparable rules recognize Go modules, Rust manifests and existing container files. File evidence is then combined with directory evidence, so a client folder with its own manifest beside a server folder with a different one is reported as a split application, not as a single ambiguous project.</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3467100"/>
            <wp:effectExtent t="0" r="0" b="0" l="0"/>
            <wp:docPr id="1" name="fig3_detection" descr="Evidence-based detection flow, from repository files to an editable project model."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346710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3. Evidence-based detection flow, from repository files to an editable project model.</w:t>
      </w:r>
    </w:p>
    <w:p>
      <w:pPr>
        <w:spacing w:after="60" w:line="240" w:lineRule="auto"/>
        <w:ind w:firstLine="245"/>
        <w:jc w:val="both"/>
      </w:pPr>
      <w:r>
        <w:rPr>
          <w:rFonts w:ascii="Times New Roman" w:cs="Times New Roman" w:eastAsia="Times New Roman" w:hAnsi="Times New Roman"/>
          <w:b w:val="0"/>
          <w:i w:val="0"/>
          <w:sz w:val="18"/>
          <w:szCs w:val="20"/>
        </w:rPr>
        <w:t xml:space="preserve">Recommended commands are derived from the manifests that were inspected. A declared development script, for instance, is stronger evidence than a generic framework default, and SentinelOps records the source of each command in the project model. The interface can therefore tell a direct repository script from a fallback suggestion. If the user changes a command by hand, the revised command becomes the value used for local validation and later asset generation, while the original detection remains visible for comparison.</w:t>
      </w:r>
    </w:p>
    <w:p>
      <w:pPr>
        <w:pStyle w:val="Heading2"/>
        <w:keepNext/>
        <w:spacing w:after="40" w:before="80"/>
        <w:jc w:val="left"/>
      </w:pPr>
      <w:r>
        <w:rPr>
          <w:rFonts w:ascii="Times New Roman" w:cs="Times New Roman" w:eastAsia="Times New Roman" w:hAnsi="Times New Roman"/>
          <w:b/>
          <w:i/>
          <w:iCs/>
          <w:sz w:val="18"/>
          <w:szCs w:val="20"/>
        </w:rPr>
        <w:t xml:space="preserve">B. Local Validation</w:t>
      </w:r>
    </w:p>
    <w:p>
      <w:pPr>
        <w:spacing w:after="60" w:line="240" w:lineRule="auto"/>
        <w:ind w:firstLine="245"/>
        <w:jc w:val="both"/>
      </w:pPr>
      <w:r>
        <w:rPr>
          <w:rFonts w:ascii="Times New Roman" w:cs="Times New Roman" w:eastAsia="Times New Roman" w:hAnsi="Times New Roman"/>
          <w:b w:val="0"/>
          <w:i w:val="0"/>
          <w:sz w:val="18"/>
          <w:szCs w:val="20"/>
        </w:rPr>
        <w:t xml:space="preserve">The validation module resolves the selected install command, starts the application with the chosen runtime command and captures the output for the user. It is deliberately separate from Docker execution. The module first confirms that the selected runtime is available, runs the dependency installation in the cloned workspace and then starts the service as a managed process. Output is streamed to the desktop interface and stored with the validation record. Where a web address can be inferred, SentinelOps probes the endpoint and shows a clickable local URL. For a project with separate client and server services, the result lists a process state and a URL for each, rather than a single generic success message.</w:t>
      </w:r>
    </w:p>
    <w:p>
      <w:pPr>
        <w:spacing w:after="60" w:line="240" w:lineRule="auto"/>
        <w:ind w:firstLine="245"/>
        <w:jc w:val="both"/>
      </w:pPr>
      <w:r>
        <w:rPr>
          <w:rFonts w:ascii="Times New Roman" w:cs="Times New Roman" w:eastAsia="Times New Roman" w:hAnsi="Times New Roman"/>
          <w:b w:val="0"/>
          <w:i w:val="0"/>
          <w:sz w:val="18"/>
          <w:szCs w:val="20"/>
        </w:rPr>
        <w:t xml:space="preserve">The module reports the process state and the local URL, and it does not declare the application ready merely because a command was launched. A successful probe is useful evidence, but it covers only the chosen endpoint in the local environment. Keeping that distinction clear prevents generated deployment assets from being mistaken for a verified production release.</w:t>
      </w:r>
    </w:p>
    <w:p>
      <w:pPr>
        <w:pStyle w:val="Heading2"/>
        <w:keepNext/>
        <w:spacing w:after="60" w:before="120"/>
        <w:jc w:val="center"/>
      </w:pPr>
      <w:r>
        <w:rPr>
          <w:rFonts w:ascii="Times New Roman" w:cs="Times New Roman" w:eastAsia="Times New Roman" w:hAnsi="Times New Roman"/>
          <w:b/>
          <w:i w:val="0"/>
          <w:iCs/>
          <w:sz w:val="22"/>
          <w:szCs w:val="20"/>
        </w:rPr>
        <w:t xml:space="preserve">C. Containers and the Docker Service</w:t>
      </w:r>
    </w:p>
    <w:p>
      <w:pPr>
        <w:spacing w:after="60" w:line="240" w:lineRule="auto"/>
        <w:ind w:firstLine="245"/>
        <w:jc w:val="both"/>
      </w:pPr>
      <w:r>
        <w:rPr>
          <w:rFonts w:ascii="Times New Roman" w:cs="Times New Roman" w:eastAsia="Times New Roman" w:hAnsi="Times New Roman"/>
          <w:b w:val="0"/>
          <w:i w:val="0"/>
          <w:sz w:val="18"/>
          <w:szCs w:val="20"/>
        </w:rPr>
        <w:t xml:space="preserve">For containerized execution, SentinelOps derives a Dockerfile template from the confirmed runtime. Docker packages an application together with the libraries and configuration it needs, which reduces differences between development and deployment environments [3]. The generated file remains editable because build steps, secrets, multi-stage builds and operating-system packages differ from project to project.</w:t>
      </w:r>
    </w:p>
    <w:p>
      <w:pPr>
        <w:spacing w:after="60" w:line="240" w:lineRule="auto"/>
        <w:ind w:firstLine="245"/>
        <w:jc w:val="both"/>
      </w:pPr>
      <w:r>
        <w:rPr>
          <w:rFonts w:ascii="Times New Roman" w:cs="Times New Roman" w:eastAsia="Times New Roman" w:hAnsi="Times New Roman"/>
          <w:b w:val="0"/>
          <w:i w:val="0"/>
          <w:sz w:val="18"/>
          <w:szCs w:val="20"/>
        </w:rPr>
        <w:t xml:space="preserve">Before offering any image-related action, the Docker service runs a host status check. On Windows, SentinelOps tells the user that Docker Desktop must be installed and running; it does not try to install the software or modify the host. When Docker is available, the project can pull a chosen base image, build an application image and run a container with the proposed port mapping. The Dockerfile and Compose file are displayed as ordinary text, so the user can change base images, build arguments, environment variables, volumes or service names before anything runs.</w:t>
      </w:r>
    </w:p>
    <w:p>
      <w:pPr>
        <w:pStyle w:val="Heading2"/>
        <w:keepNext/>
        <w:spacing w:after="60" w:before="120"/>
        <w:jc w:val="center"/>
      </w:pPr>
      <w:r>
        <w:rPr>
          <w:rFonts w:ascii="Times New Roman" w:cs="Times New Roman" w:eastAsia="Times New Roman" w:hAnsi="Times New Roman"/>
          <w:b/>
          <w:i w:val="0"/>
          <w:iCs/>
          <w:sz w:val="22"/>
          <w:szCs w:val="20"/>
        </w:rPr>
        <w:t xml:space="preserve">D. Pipeline Generation</w:t>
      </w:r>
    </w:p>
    <w:p>
      <w:pPr>
        <w:spacing w:after="60" w:line="240" w:lineRule="auto"/>
        <w:ind w:firstLine="245"/>
        <w:jc w:val="both"/>
      </w:pPr>
      <w:r>
        <w:rPr>
          <w:rFonts w:ascii="Times New Roman" w:cs="Times New Roman" w:eastAsia="Times New Roman" w:hAnsi="Times New Roman"/>
          <w:b w:val="0"/>
          <w:i w:val="0"/>
          <w:sz w:val="18"/>
          <w:szCs w:val="20"/>
        </w:rPr>
        <w:t xml:space="preserve">The pipeline module chooses among GitHub Actions, GitLab CI and Jenkins according to the repository context and the preference of the user. It generates a visible sequence of checkout, dependency installation, build, test, image build and an optional publish step. Credentials, registry URLs and production deployment commands are deliberately not inferred, because they require values that only the user or the organization can supply.</w:t>
      </w:r>
    </w:p>
    <w:p>
      <w:pPr>
        <w:pStyle w:val="Heading2"/>
        <w:keepNext/>
        <w:spacing w:after="60" w:before="100" w:line="240" w:lineRule="auto"/>
        <w:jc w:val="both"/>
      </w:pPr>
      <w:r>
        <w:rPr>
          <w:rFonts w:ascii="Times New Roman" w:cs="Times New Roman" w:eastAsia="Times New Roman" w:hAnsi="Times New Roman"/>
          <w:b w:val="0"/>
          <w:i w:val="0"/>
          <w:iCs/>
          <w:sz w:val="18"/>
          <w:szCs w:val="20"/>
        </w:rPr>
        <w:t xml:space="preserve">E. Recommendation Layer</w:t>
      </w:r>
    </w:p>
    <w:p>
      <w:pPr>
        <w:spacing w:after="60" w:line="240" w:lineRule="auto"/>
        <w:ind w:firstLine="245"/>
        <w:jc w:val="both"/>
      </w:pPr>
      <w:r>
        <w:rPr>
          <w:rFonts w:ascii="Times New Roman" w:cs="Times New Roman" w:eastAsia="Times New Roman" w:hAnsi="Times New Roman"/>
          <w:b w:val="0"/>
          <w:i w:val="0"/>
          <w:sz w:val="18"/>
          <w:szCs w:val="20"/>
        </w:rPr>
        <w:t xml:space="preserve">A freely available language model serves as a secondary recommender for a stack, a delivery path or an explanation of an error. It works inside the limits of the repository model. It must not invent a framework that the detector never observed, run shell commands without approval, or overwrite generated files without keeping the previous version. In this design the model output is a proposal accompanied by evidence and confidence notes, while deterministic checks stay responsible for file discovery, command execution and validation status. The split lets the platform use AI for judgment calls without allowing a plausible but wrong answer to reach the machine of the user unchecked.</w:t>
      </w:r>
    </w:p>
    <w:p>
      <w:pPr>
        <w:pStyle w:val="Heading2"/>
        <w:keepNext/>
        <w:spacing w:after="60" w:before="100" w:line="240" w:lineRule="auto"/>
        <w:jc w:val="both"/>
      </w:pPr>
      <w:r>
        <w:rPr>
          <w:rFonts w:ascii="Times New Roman" w:cs="Times New Roman" w:eastAsia="Times New Roman" w:hAnsi="Times New Roman"/>
          <w:b w:val="0"/>
          <w:i w:val="0"/>
          <w:iCs/>
          <w:sz w:val="18"/>
          <w:szCs w:val="20"/>
        </w:rPr>
        <w:t xml:space="preserve">F. Visualization and Error Handling</w:t>
      </w:r>
    </w:p>
    <w:p>
      <w:pPr>
        <w:spacing w:after="60" w:line="240" w:lineRule="auto"/>
        <w:ind w:firstLine="245"/>
        <w:jc w:val="both"/>
      </w:pPr>
      <w:r>
        <w:rPr>
          <w:rFonts w:ascii="Times New Roman" w:cs="Times New Roman" w:eastAsia="Times New Roman" w:hAnsi="Times New Roman"/>
          <w:b w:val="0"/>
          <w:i w:val="0"/>
          <w:sz w:val="18"/>
          <w:szCs w:val="20"/>
        </w:rPr>
        <w:t xml:space="preserve">The project also includes a visualization view of the chosen technology stack and the planned delivery path. It maps repository findings to the selected CI provider, container base image, deployment profile, monitoring assets and response policy. The purpose is operational clarity. A user can see, for example, that a FastAPI service was paired with Python, Docker, a GitHub Actions workflow, a Kubernetes profile, Prometheus scraping and a CPU-based HPA before any remote deployment command is considered.</w:t>
      </w:r>
    </w:p>
    <w:p>
      <w:pPr>
        <w:spacing w:after="60" w:line="240" w:lineRule="auto"/>
        <w:ind w:firstLine="245"/>
        <w:jc w:val="both"/>
      </w:pPr>
      <w:r>
        <w:rPr>
          <w:rFonts w:ascii="Times New Roman" w:cs="Times New Roman" w:eastAsia="Times New Roman" w:hAnsi="Times New Roman"/>
          <w:b w:val="0"/>
          <w:i w:val="0"/>
          <w:sz w:val="18"/>
          <w:szCs w:val="20"/>
        </w:rPr>
        <w:t xml:space="preserve">Error handling is built around recovery instead of silent retries. A clone error leaves the project in the intake state and shows the Git message. A detection error keeps the repository record and asks the user to fill in the fields manually. When an install or a local start fails, the terminal output is stored and the interface does not present deployment generation as a verified path. A Docker error reports either the missing host prerequisite or the result returned by the engine. These rules keep each failure trace next to the action that caused it.</w:t>
      </w:r>
    </w:p>
    <w:p>
      <w:pPr>
        <w:pStyle w:val="Heading1"/>
        <w:keepNext/>
        <w:spacing w:after="60" w:before="120"/>
        <w:jc w:val="center"/>
      </w:pPr>
      <w:r>
        <w:rPr>
          <w:rFonts w:ascii="Times New Roman" w:hAnsi="Times New Roman" w:eastAsia="Times New Roman"/>
          <w:b/>
          <w:i w:val="0"/>
          <w:sz w:val="22"/>
        </w:rPr>
        <w:t>VI. USER WORKFLOW AND CONTROLLED EXECUTION</w:t>
      </w:r>
    </w:p>
    <w:p>
      <w:pPr>
        <w:spacing w:after="60" w:line="240" w:lineRule="auto"/>
        <w:ind w:firstLine="245"/>
        <w:jc w:val="both"/>
      </w:pPr>
      <w:r>
        <w:rPr>
          <w:rFonts w:ascii="Times New Roman" w:cs="Times New Roman" w:eastAsia="Times New Roman" w:hAnsi="Times New Roman"/>
          <w:b w:val="0"/>
          <w:i w:val="0"/>
          <w:sz w:val="18"/>
          <w:szCs w:val="20"/>
        </w:rPr>
        <w:t xml:space="preserve">A session starts when the user creates a project and supplies a Git repository address. The application records a readable project name and selects a local directory for the clone. If the repository already exists in an earlier project workspace, the user can inspect its metadata or remove the cloned copy through a dedicated delete action. Deletion affects only the copy managed by SentinelOps and must never remove the original repository of the user or any remote repository. The constraint is small, but it matters because people often try several repositories while learning a new tool.</w:t>
      </w:r>
    </w:p>
    <w:p>
      <w:pPr>
        <w:spacing w:after="60" w:line="240" w:lineRule="auto"/>
        <w:ind w:firstLine="245"/>
        <w:jc w:val="both"/>
      </w:pPr>
      <w:r>
        <w:rPr>
          <w:rFonts w:ascii="Times New Roman" w:cs="Times New Roman" w:eastAsia="Times New Roman" w:hAnsi="Times New Roman"/>
          <w:b w:val="0"/>
          <w:i w:val="0"/>
          <w:sz w:val="18"/>
          <w:szCs w:val="20"/>
        </w:rPr>
        <w:t xml:space="preserve">After cloning, the analysis screen shows the detected stack as editable fields rather than a black-box result. The fields cover the primary language, framework, package manager, build tool, service type, detected ports, container support and CI configuration. When a repository contains both a front end and a back end, each component gets its own entry. A user can confirm a React client on one port and a Python API on another, and those selections carry over when Docker or pipeline assets are created.</w:t>
      </w:r>
    </w:p>
    <w:p>
      <w:pPr>
        <w:spacing w:after="60" w:line="240" w:lineRule="auto"/>
        <w:ind w:firstLine="245"/>
        <w:jc w:val="both"/>
      </w:pPr>
      <w:r>
        <w:rPr>
          <w:rFonts w:ascii="Times New Roman" w:cs="Times New Roman" w:eastAsia="Times New Roman" w:hAnsi="Times New Roman"/>
          <w:b w:val="0"/>
          <w:i w:val="0"/>
          <w:sz w:val="18"/>
          <w:szCs w:val="20"/>
        </w:rPr>
        <w:t xml:space="preserve">Local validation comes next. The user reviews the install and start commands before running them, and SentinelOps then displays the terminal output, process status and local addresses. This is especially helpful for projects whose front end and back end must be launched separately. Instead of asking the user to work out an address from the logs, the application shows explicit links, such as a client URL and an API URL, whenever they are known. If a process stops unexpectedly, its exit result becomes part of the validation record.</w:t>
      </w:r>
    </w:p>
    <w:p>
      <w:pPr>
        <w:spacing w:after="60" w:line="240" w:lineRule="auto"/>
        <w:ind w:firstLine="245"/>
        <w:jc w:val="both"/>
      </w:pPr>
      <w:r>
        <w:rPr>
          <w:rFonts w:ascii="Times New Roman" w:cs="Times New Roman" w:eastAsia="Times New Roman" w:hAnsi="Times New Roman"/>
          <w:b w:val="0"/>
          <w:i w:val="0"/>
          <w:sz w:val="18"/>
          <w:szCs w:val="20"/>
        </w:rPr>
        <w:t xml:space="preserve">When validation succeeds, or when the user chooses to continue despite a known limitation, the planning screen recommends a delivery profile. The recommendation considers the selected stack, whether the service is split, whether a Dockerfile already exists and the target stated by the user, and the screen explains its reasoning in plain language. It may suggest native local execution for an early single-service prototype, Compose for a service with a local dependency, or Kubernetes only after a container image and a cluster target have been confirmed.</w:t>
      </w:r>
    </w:p>
    <w:p>
      <w:pPr>
        <w:spacing w:after="60" w:line="240" w:lineRule="auto"/>
        <w:ind w:firstLine="245"/>
        <w:jc w:val="both"/>
      </w:pPr>
      <w:r>
        <w:rPr>
          <w:rFonts w:ascii="Times New Roman" w:cs="Times New Roman" w:eastAsia="Times New Roman" w:hAnsi="Times New Roman"/>
          <w:b w:val="0"/>
          <w:i w:val="0"/>
          <w:sz w:val="18"/>
          <w:szCs w:val="20"/>
        </w:rPr>
        <w:t xml:space="preserve">The execution screen keeps generated files clearly apart from commands that have actually run. Creating a Dockerfile does not mean that an image exists. Generating a Jenkinsfile does not mean that a pipeline has been configured on a Jenkins server, and preparing a Prometheus configuration does not mean that metrics are being collected. Each stage therefore carries one of the six statuses defined in Table III. Showing this distinction stops an attractive visualization from overstating the state of the system.</w:t>
      </w:r>
    </w:p>
    <w:p>
      <w:pPr>
        <w:keepNext/>
        <w:spacing w:after="60" w:before="40"/>
        <w:jc w:val="center"/>
      </w:pPr>
      <w:r>
        <w:rPr>
          <w:rFonts w:ascii="Times New Roman" w:hAnsi="Times New Roman" w:eastAsia="Times New Roman"/>
          <w:b/>
          <w:i w:val="0"/>
          <w:sz w:val="18"/>
        </w:rPr>
        <w:t>Table 3. Execution Status Model</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4070"/>
      </w:tblGrid>
      <w:tr>
        <w:trPr>
          <w:cantSplit/>
          <w:tblHeader/>
        </w:trPr>
        <w:tc>
          <w:tcPr>
            <w:tcW w:type="dxa" w:w="11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Status</w:t>
            </w:r>
          </w:p>
        </w:tc>
        <w:tc>
          <w:tcPr>
            <w:tcW w:type="dxa" w:w="40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Meaning</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Generated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The file exists in the workspace; nothing has been executed.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Configured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The file has been applied to a tool or service, for example imported into a CI server.</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Started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 process, container or monitoring stack has been launched.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Validated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 probe or check has confirmed the expected behavior in the local environment.</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Failed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A step ran and returned an error; the output is stored with the record.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Not applicable</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The stage does not apply to the chosen profile.</w:t>
            </w:r>
          </w:p>
        </w:tc>
      </w:tr>
    </w:tbl>
    <w:p>
      <w:pPr>
        <w:spacing w:after="60" w:line="240" w:lineRule="auto"/>
        <w:jc w:val="both"/>
      </w:pPr>
    </w:p>
    <w:p>
      <w:pPr>
        <w:spacing w:after="60" w:line="240" w:lineRule="auto"/>
        <w:ind w:firstLine="245"/>
        <w:jc w:val="both"/>
      </w:pPr>
      <w:r>
        <w:rPr>
          <w:rFonts w:ascii="Times New Roman" w:cs="Times New Roman" w:eastAsia="Times New Roman" w:hAnsi="Times New Roman"/>
          <w:b w:val="0"/>
          <w:i w:val="0"/>
          <w:sz w:val="18"/>
          <w:szCs w:val="20"/>
        </w:rPr>
        <w:t xml:space="preserve">The final project view works as a compact record for demonstrations. It can show the repository source, selected stack, local test result, container choice, CI/CD template, deployment profile, observability configuration, scaling policy and recommended maintenance actions. The same record gives a reviewer enough context to understand why the application chose its assets, and it serves as a handoff note when another developer must continue the setup without repeating the initial investigation.</w:t>
      </w:r>
    </w:p>
    <w:p>
      <w:pPr>
        <w:pStyle w:val="Heading1"/>
        <w:keepNext/>
        <w:spacing w:after="60" w:before="120"/>
        <w:jc w:val="center"/>
      </w:pPr>
      <w:r>
        <w:rPr>
          <w:rFonts w:ascii="Times New Roman" w:hAnsi="Times New Roman" w:eastAsia="Times New Roman"/>
          <w:b/>
          <w:i w:val="0"/>
          <w:sz w:val="22"/>
        </w:rPr>
        <w:t>VII. DELIVERY PROFILES AND CI/CD</w:t>
      </w:r>
    </w:p>
    <w:p>
      <w:pPr>
        <w:pStyle w:val="Heading2"/>
        <w:keepNext/>
        <w:spacing w:after="40" w:before="80"/>
        <w:jc w:val="left"/>
      </w:pPr>
      <w:r>
        <w:rPr>
          <w:rFonts w:ascii="Times New Roman" w:cs="Times New Roman" w:eastAsia="Times New Roman" w:hAnsi="Times New Roman"/>
          <w:b/>
          <w:i/>
          <w:iCs/>
          <w:sz w:val="18"/>
          <w:szCs w:val="20"/>
        </w:rPr>
        <w:t xml:space="preserve">A. Profiles and Their Selection</w:t>
      </w:r>
    </w:p>
    <w:p>
      <w:pPr>
        <w:spacing w:after="60" w:line="240" w:lineRule="auto"/>
        <w:ind w:firstLine="245"/>
        <w:jc w:val="both"/>
      </w:pPr>
      <w:r>
        <w:rPr>
          <w:rFonts w:ascii="Times New Roman" w:cs="Times New Roman" w:eastAsia="Times New Roman" w:hAnsi="Times New Roman"/>
          <w:b w:val="0"/>
          <w:i w:val="0"/>
          <w:sz w:val="18"/>
          <w:szCs w:val="20"/>
        </w:rPr>
        <w:t xml:space="preserve">SentinelOps presents deployment as a choice among profiles, not as a single action that suits every project. The native local profile is the simplest: it starts the selected command directly on the workstation and is convenient for debugging a freshly cloned repository. The Docker Compose profile packages the application and its supporting services into a repeatable local bundle. The Kubernetes profile is intended for users who already have an approved cluster and understand what a remote deployment involves. Table IV summarizes the differences, and Fig. 4 shows how the recommendation is reached.</w:t>
      </w:r>
    </w:p>
    <w:p>
      <w:pPr>
        <w:keepNext/>
        <w:spacing w:after="60" w:before="40"/>
        <w:jc w:val="center"/>
      </w:pPr>
      <w:r>
        <w:rPr>
          <w:rFonts w:ascii="Times New Roman" w:hAnsi="Times New Roman" w:eastAsia="Times New Roman"/>
          <w:b/>
          <w:i w:val="0"/>
          <w:sz w:val="18"/>
        </w:rPr>
        <w:t>Table 4. Deployment Profiles Offered by SentinelOps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050"/>
        <w:gridCol w:w="1780"/>
        <w:gridCol w:w="2390"/>
      </w:tblGrid>
      <w:tr>
        <w:trPr>
          <w:cantSplit/>
          <w:tblHeader/>
        </w:trPr>
        <w:tc>
          <w:tcPr>
            <w:tcW w:type="dxa" w:w="10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Profile</w:t>
            </w:r>
          </w:p>
        </w:tc>
        <w:tc>
          <w:tcPr>
            <w:tcW w:type="dxa" w:w="178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Appropriate use</w:t>
            </w:r>
          </w:p>
        </w:tc>
        <w:tc>
          <w:tcPr>
            <w:tcW w:type="dxa" w:w="239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Generated guidance</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Native local</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Early debugging on one workstation</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Commands, URLs, health status and stop action</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Docker Compose</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Repeatable local service bundle</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Dockerfile, Compose file, image and port mapping</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Kubernetes</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Cluster deployment with approval</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Deployment, Service, HPA and capacity policy</w:t>
            </w:r>
          </w:p>
        </w:tc>
      </w:tr>
    </w:tbl>
    <w:p>
      <w:pPr>
        <w:spacing w:after="60" w:line="240" w:lineRule="auto"/>
        <w:jc w:val="both"/>
      </w:pP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3371850"/>
            <wp:effectExtent t="0" r="0" b="0" l="0"/>
            <wp:docPr id="1" name="fig4_profile_decision" descr="Decision flow used to recommend a delivery profil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337185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4. Decision flow used to recommend a delivery profile.</w:t>
      </w:r>
    </w:p>
    <w:p>
      <w:pPr>
        <w:spacing w:after="60" w:line="240" w:lineRule="auto"/>
        <w:ind w:firstLine="245"/>
        <w:jc w:val="both"/>
      </w:pPr>
      <w:r>
        <w:rPr>
          <w:rFonts w:ascii="Times New Roman" w:cs="Times New Roman" w:eastAsia="Times New Roman" w:hAnsi="Times New Roman"/>
          <w:b w:val="0"/>
          <w:i w:val="0"/>
          <w:sz w:val="18"/>
          <w:szCs w:val="20"/>
        </w:rPr>
        <w:t xml:space="preserve">The recommended profile depends on the confirmed project model. A small static front end can often be tested locally and then built into a compact web-serving image. A service that needs a database may be better served by Compose during development, since the application and its dependency can be described together. A split front end and back end needs separate service entries, port mappings and health checks. Kubernetes becomes a reasonable recommendation only when a cluster, an image registry and operational ownership are already in place, and SentinelOps lists these prerequisites in the profile description instead of presenting Kubernetes as the natural next step. Fig. 5 lists which artifacts each profile produces.</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2533650"/>
            <wp:effectExtent t="0" r="0" b="0" l="0"/>
            <wp:docPr id="1" name="fig6_coverage" descr="Artifacts produced by each delivery profile (design coverage, not measured result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253365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5. Generated asset coverage by delivery profile (design coverage, not measured results).</w:t>
      </w:r>
    </w:p>
    <w:p>
      <w:pPr>
        <w:pStyle w:val="Heading2"/>
        <w:keepNext/>
        <w:spacing w:after="40" w:before="80"/>
        <w:jc w:val="left"/>
      </w:pPr>
      <w:r>
        <w:rPr>
          <w:rFonts w:ascii="Times New Roman" w:cs="Times New Roman" w:eastAsia="Times New Roman" w:hAnsi="Times New Roman"/>
          <w:b/>
          <w:i/>
          <w:iCs/>
          <w:sz w:val="18"/>
          <w:szCs w:val="20"/>
        </w:rPr>
        <w:t xml:space="preserve">B. Pipeline Templates</w:t>
      </w:r>
    </w:p>
    <w:p>
      <w:pPr>
        <w:spacing w:after="60" w:line="240" w:lineRule="auto"/>
        <w:ind w:firstLine="245"/>
        <w:jc w:val="both"/>
      </w:pPr>
      <w:r>
        <w:rPr>
          <w:rFonts w:ascii="Times New Roman" w:cs="Times New Roman" w:eastAsia="Times New Roman" w:hAnsi="Times New Roman"/>
          <w:b w:val="0"/>
          <w:i w:val="0"/>
          <w:sz w:val="18"/>
          <w:szCs w:val="20"/>
        </w:rPr>
        <w:t xml:space="preserve">The CI/CD templates follow the same principle. A GitHub repository can start with GitHub Actions, a GitLab repository with GitLab CI and a Jenkins environment with a Jenkinsfile. Each template begins with checkout and dependency installation and then runs the project build and the selected tests. Container build and push steps stay optional because an image registry needs a destination and credentials supplied by the user. A deployment stage can also be generated, but it remains disabled until the user provides the target environment and the approval process.</w:t>
      </w:r>
    </w:p>
    <w:p>
      <w:pPr>
        <w:spacing w:after="60" w:line="240" w:lineRule="auto"/>
        <w:ind w:firstLine="245"/>
        <w:jc w:val="both"/>
      </w:pPr>
      <w:r>
        <w:rPr>
          <w:rFonts w:ascii="Times New Roman" w:cs="Times New Roman" w:eastAsia="Times New Roman" w:hAnsi="Times New Roman"/>
          <w:b w:val="0"/>
          <w:i w:val="0"/>
          <w:sz w:val="18"/>
          <w:szCs w:val="20"/>
        </w:rPr>
        <w:t xml:space="preserve">The generated pipelines are written so that a developer who did not build SentinelOps can still read them. Steps carry clear names and use standard repository scripts wherever possible. A pipeline should fail when a build or test fails, and its report should point back to the command output. The application does not promise to repair every failure on its own. It can identify the failed stage, collect the message, explain the usual causes and suggest what to check next, which is safer than retrying a build indefinitely or changing source code without review.</w:t>
      </w:r>
    </w:p>
    <w:p>
      <w:pPr>
        <w:pStyle w:val="Heading2"/>
        <w:keepNext/>
        <w:spacing w:after="60" w:before="120"/>
        <w:jc w:val="center"/>
      </w:pPr>
      <w:r>
        <w:rPr>
          <w:rFonts w:ascii="Times New Roman" w:cs="Times New Roman" w:eastAsia="Times New Roman" w:hAnsi="Times New Roman"/>
          <w:b/>
          <w:i w:val="0"/>
          <w:iCs/>
          <w:sz w:val="22"/>
          <w:szCs w:val="20"/>
        </w:rPr>
        <w:t xml:space="preserve">C. Image Tagging</w:t>
      </w:r>
    </w:p>
    <w:p>
      <w:pPr>
        <w:spacing w:after="60" w:line="240" w:lineRule="auto"/>
        <w:ind w:firstLine="245"/>
        <w:jc w:val="both"/>
      </w:pPr>
      <w:r>
        <w:rPr>
          <w:rFonts w:ascii="Times New Roman" w:cs="Times New Roman" w:eastAsia="Times New Roman" w:hAnsi="Times New Roman"/>
          <w:b w:val="0"/>
          <w:i w:val="0"/>
          <w:sz w:val="18"/>
          <w:szCs w:val="20"/>
        </w:rPr>
        <w:t xml:space="preserve">Image tagging is handled as a release decision. A generated configuration can use a local tag for testing and can reserve immutable tags derived from a commit identifier for an approved registry workflow. A later production integration should add provenance, vulnerability scanning and access control before an image is promoted. SentinelOps can prepare the surrounding files, but registry permissions and the policy that decides whether an image may reach an environment remain the responsibility of the project owner.</w:t>
      </w:r>
    </w:p>
    <w:p>
      <w:pPr>
        <w:pStyle w:val="Heading1"/>
        <w:keepNext/>
        <w:spacing w:after="60" w:before="120"/>
        <w:jc w:val="center"/>
      </w:pPr>
      <w:r>
        <w:rPr>
          <w:rFonts w:ascii="Times New Roman" w:hAnsi="Times New Roman" w:eastAsia="Times New Roman"/>
          <w:b/>
          <w:i w:val="0"/>
          <w:sz w:val="22"/>
        </w:rPr>
        <w:t>VIII. OBSERVABILITY AUTOSCALING AND SELF HEALING</w:t>
      </w:r>
    </w:p>
    <w:p>
      <w:pPr>
        <w:pStyle w:val="Heading2"/>
        <w:keepNext/>
        <w:spacing w:after="40" w:before="80"/>
        <w:jc w:val="left"/>
      </w:pPr>
      <w:r>
        <w:rPr>
          <w:rFonts w:ascii="Times New Roman" w:cs="Times New Roman" w:eastAsia="Times New Roman" w:hAnsi="Times New Roman"/>
          <w:b/>
          <w:i/>
          <w:iCs/>
          <w:sz w:val="18"/>
          <w:szCs w:val="20"/>
        </w:rPr>
        <w:t xml:space="preserve">A. Metrics and Dashboards</w:t>
      </w:r>
    </w:p>
    <w:p>
      <w:pPr>
        <w:spacing w:after="60" w:line="240" w:lineRule="auto"/>
        <w:ind w:firstLine="245"/>
        <w:jc w:val="both"/>
      </w:pPr>
      <w:r>
        <w:rPr>
          <w:rFonts w:ascii="Times New Roman" w:hAnsi="Times New Roman" w:eastAsia="Times New Roman"/>
          <w:b w:val="0"/>
          <w:i w:val="0"/>
          <w:sz w:val="18"/>
        </w:rPr>
        <w:t>SentinelOps creates a Prometheus scrape configuration, a starter Grafana dashboard definition, and an optional Compose stack for local observation. The interface summarizes generated endpoints and suggests signals worth watching, including service availability, CPU use, memory use, request errors, and restart count. It does not claim to show live metrics until the monitoring stack is running and the application exposes a compatible metrics endpoint.</w:t>
      </w:r>
    </w:p>
    <w:p>
      <w:pPr>
        <w:spacing w:after="60" w:line="240" w:lineRule="auto"/>
        <w:ind w:firstLine="245"/>
        <w:jc w:val="both"/>
      </w:pPr>
      <w:r>
        <w:rPr>
          <w:rFonts w:ascii="Times New Roman" w:hAnsi="Times New Roman" w:eastAsia="Times New Roman"/>
          <w:b w:val="0"/>
          <w:i w:val="0"/>
          <w:sz w:val="18"/>
        </w:rPr>
        <w:t>The configuration starts from a short, explicit target list. The user chooses an application endpoint and scrape interval, then reviews the Prometheus configuration before starting it. A starter dashboard groups panels for availability, CPU, memory, process restarts, and request errors where the chosen runtime exposes those metrics. The dashboard is a starting point, not proof that every application uses the same metric names. A Python API, a Node.js process, and a static client expose different signals and may require instrumentation before panels display data.</w:t>
      </w:r>
    </w:p>
    <w:p>
      <w:pPr>
        <w:pStyle w:val="Heading2"/>
        <w:keepNext/>
        <w:spacing w:after="40" w:before="80"/>
        <w:jc w:val="left"/>
      </w:pPr>
      <w:r>
        <w:rPr>
          <w:rFonts w:ascii="Times New Roman" w:cs="Times New Roman" w:eastAsia="Times New Roman" w:hAnsi="Times New Roman"/>
          <w:b/>
          <w:i/>
          <w:iCs/>
          <w:sz w:val="18"/>
          <w:szCs w:val="20"/>
        </w:rPr>
        <w:t xml:space="preserve">B. Autoscaling</w:t>
      </w:r>
    </w:p>
    <w:p>
      <w:pPr>
        <w:spacing w:after="60" w:line="240" w:lineRule="auto"/>
        <w:ind w:firstLine="245"/>
        <w:jc w:val="both"/>
      </w:pPr>
      <w:r>
        <w:rPr>
          <w:rFonts w:ascii="Times New Roman" w:hAnsi="Times New Roman" w:eastAsia="Times New Roman"/>
          <w:b w:val="0"/>
          <w:i w:val="0"/>
          <w:sz w:val="18"/>
        </w:rPr>
        <w:t>Autoscaling is offered only for the Kubernetes profile. SentinelOps generates an autoscaling v2 resource with reviewed minimum and maximum replica values and a target CPU utilization. It also adds resource requests to the generated workload because CPU-based scaling depends on them. The user can adjust the capacity policy in the interface and inspect the resulting manifest. Heavy traffic alone does not guarantee a scale-out event: the configured metric, target, workload readiness, and cluster capacity all influence the outcome.</w:t>
      </w:r>
    </w:p>
    <w:p>
      <w:pPr>
        <w:pStyle w:val="Heading2"/>
        <w:keepNext/>
        <w:spacing w:after="60" w:before="120"/>
        <w:jc w:val="center"/>
      </w:pPr>
      <w:r>
        <w:rPr>
          <w:rFonts w:ascii="Times New Roman" w:cs="Times New Roman" w:eastAsia="Times New Roman" w:hAnsi="Times New Roman"/>
          <w:b/>
          <w:i w:val="0"/>
          <w:iCs/>
          <w:sz w:val="22"/>
          <w:szCs w:val="20"/>
        </w:rPr>
        <w:t xml:space="preserve">C. Approval-Gated Self-Healing</w:t>
      </w:r>
    </w:p>
    <w:p>
      <w:pPr>
        <w:spacing w:after="60" w:line="240" w:lineRule="auto"/>
        <w:ind w:firstLine="245"/>
        <w:jc w:val="both"/>
      </w:pPr>
      <w:r>
        <w:rPr>
          <w:rFonts w:ascii="Times New Roman" w:cs="Times New Roman" w:eastAsia="Times New Roman" w:hAnsi="Times New Roman"/>
          <w:b w:val="0"/>
          <w:i w:val="0"/>
          <w:sz w:val="18"/>
          <w:szCs w:val="20"/>
        </w:rPr>
        <w:t xml:space="preserve">The maintenance model is recommendation-led. When a health probe fails or an observed threshold is crossed, the interface can propose a restart, a rollback, a scaling change, a configuration review or a ticket, and a runbook explains the suggested action together with the evidence that triggered it. Automatic source-code repair and unapproved production changes are outside the scope of the prototype. This boundary suits a desktop tool used by learners and small teams, where a wrong assumption could otherwise alter a local project or a remote environment without warning.</w:t>
      </w:r>
    </w:p>
    <w:p>
      <w:pPr>
        <w:spacing w:after="60" w:line="240" w:lineRule="auto"/>
        <w:ind w:firstLine="245"/>
        <w:jc w:val="both"/>
      </w:pPr>
      <w:r>
        <w:rPr>
          <w:rFonts w:ascii="Times New Roman" w:cs="Times New Roman" w:eastAsia="Times New Roman" w:hAnsi="Times New Roman"/>
          <w:b w:val="0"/>
          <w:i w:val="0"/>
          <w:sz w:val="18"/>
          <w:szCs w:val="20"/>
        </w:rPr>
        <w:t xml:space="preserve">The self-healing loop is drawn in Fig. 6. A health or metric signal flags an abnormal condition (step 1). The system then gathers context such as the selected profile, recent command output, the configured endpoint and the last known status (step 2), and matches the event to a runbook suggestion (step 3). Before any action that changes a running environment, such as a local restart, a rollback to an earlier configuration, a scaling adjustment or a notification, it asks the user for approval (step 4). An approved action is applied (step 5) and every outcome, including a declined request, is recorded and fed back into monitoring (step 6). The loop keeps each suggested response explainable and reversible. In the current prototype the trigger is a health probe or a configured threshold. A learned anomaly detector is a natural extension, and Section X returns to it.</w:t>
      </w:r>
    </w:p>
    <w:p>
      <w:pPr>
        <w:keepNext/>
        <w:keepLines/>
        <w:spacing w:after="60" w:before="60" w:line="240" w:lineRule="auto"/>
        <w:jc w:val="both"/>
      </w:pPr>
      <w:r>
        <w:rPr>
          <w:rFonts w:ascii="Times New Roman" w:hAnsi="Times New Roman" w:eastAsia="Times New Roman"/>
          <w:b w:val="0"/>
          <w:i w:val="0"/>
          <w:sz w:val="18"/>
        </w:rPr>
        <w:drawing>
          <wp:inline distT="0" distB="0" distL="0" distR="0">
            <wp:extent cx="3019425" cy="2667000"/>
            <wp:effectExtent t="0" r="0" b="0" l="0"/>
            <wp:docPr id="1" name="fig5_selfhealing" descr="Approval-gated self-healing loop."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2667000"/>
                    </a:xfrm>
                    <a:prstGeom prst="rect">
                      <a:avLst/>
                    </a:prstGeom>
                  </pic:spPr>
                </pic:pic>
              </a:graphicData>
            </a:graphic>
          </wp:inline>
        </w:drawing>
      </w:r>
    </w:p>
    <w:p>
      <w:pPr>
        <w:spacing w:after="60" w:before="40"/>
        <w:jc w:val="center"/>
      </w:pPr>
      <w:r>
        <w:rPr>
          <w:rFonts w:ascii="Times New Roman" w:hAnsi="Times New Roman" w:eastAsia="Times New Roman"/>
          <w:b w:val="0"/>
          <w:i/>
          <w:sz w:val="18"/>
        </w:rPr>
        <w:t>Figure 6. Approval-gated self-healing loop.</w:t>
      </w:r>
    </w:p>
    <w:p>
      <w:pPr>
        <w:pStyle w:val="Heading2"/>
        <w:keepNext/>
        <w:spacing w:after="60" w:before="120"/>
        <w:jc w:val="center"/>
      </w:pPr>
      <w:r>
        <w:rPr>
          <w:rFonts w:ascii="Times New Roman" w:cs="Times New Roman" w:eastAsia="Times New Roman" w:hAnsi="Times New Roman"/>
          <w:b/>
          <w:i w:val="0"/>
          <w:iCs/>
          <w:sz w:val="22"/>
          <w:szCs w:val="20"/>
        </w:rPr>
        <w:t xml:space="preserve">D. Notifications and Visual Summary</w:t>
      </w:r>
    </w:p>
    <w:p>
      <w:pPr>
        <w:spacing w:after="60" w:line="240" w:lineRule="auto"/>
        <w:ind w:firstLine="245"/>
        <w:jc w:val="both"/>
      </w:pPr>
      <w:r>
        <w:rPr>
          <w:rFonts w:ascii="Times New Roman" w:cs="Times New Roman" w:eastAsia="Times New Roman" w:hAnsi="Times New Roman"/>
          <w:b w:val="0"/>
          <w:i w:val="0"/>
          <w:sz w:val="18"/>
          <w:szCs w:val="20"/>
        </w:rPr>
        <w:t xml:space="preserve">Notifications are treated as an integration boundary, not as a service that can be assumed to exist. The project model can reserve hooks for email, Slack, Microsoft Teams, Jira or PagerDuty, but a real connection needs credentials, endpoint configuration and an escalation policy specific to the organization. In the current prototype the user receives the event record and the recommended action. This keeps the paper consistent with what SentinelOps can safely generate and avoids suggesting that an alert was delivered when no integration has been configured.</w:t>
      </w:r>
    </w:p>
    <w:p>
      <w:pPr>
        <w:spacing w:after="60" w:line="240" w:lineRule="auto"/>
        <w:ind w:firstLine="245"/>
        <w:jc w:val="both"/>
      </w:pPr>
      <w:r>
        <w:rPr>
          <w:rFonts w:ascii="Times New Roman" w:cs="Times New Roman" w:eastAsia="Times New Roman" w:hAnsi="Times New Roman"/>
          <w:b w:val="0"/>
          <w:i w:val="0"/>
          <w:sz w:val="18"/>
          <w:szCs w:val="20"/>
        </w:rPr>
        <w:t xml:space="preserve">The desktop visualization follows the same maintenance model. A generated plan can show the container image, CI/CD stages, deployment profile, metric sources, autoscaling range and latest health result as connected modules. It does not replace Grafana. Its job is to explain how the generated assets relate to one another before the user opens a monitoring dashboard, which helps in project demonstrations because viewers can follow the path from repository analysis to an operational policy without needing live cloud credentials.</w:t>
      </w:r>
    </w:p>
    <w:p>
      <w:pPr>
        <w:pStyle w:val="Heading1"/>
        <w:keepNext/>
        <w:spacing w:after="60" w:before="120"/>
        <w:jc w:val="center"/>
      </w:pPr>
      <w:r>
        <w:rPr>
          <w:rFonts w:ascii="Times New Roman" w:hAnsi="Times New Roman" w:eastAsia="Times New Roman"/>
          <w:b/>
          <w:i w:val="0"/>
          <w:sz w:val="22"/>
        </w:rPr>
        <w:t>IX. EVALUATION PLAN</w:t>
      </w:r>
    </w:p>
    <w:p>
      <w:pPr>
        <w:pStyle w:val="Heading2"/>
        <w:keepNext/>
        <w:spacing w:after="40" w:before="80"/>
        <w:jc w:val="left"/>
      </w:pPr>
      <w:r>
        <w:rPr>
          <w:rFonts w:ascii="Times New Roman" w:cs="Times New Roman" w:eastAsia="Times New Roman" w:hAnsi="Times New Roman"/>
          <w:b/>
          <w:i/>
          <w:iCs/>
          <w:sz w:val="18"/>
          <w:szCs w:val="20"/>
        </w:rPr>
        <w:t xml:space="preserve">A. Detection Accuracy</w:t>
      </w:r>
    </w:p>
    <w:p>
      <w:pPr>
        <w:spacing w:after="60" w:line="240" w:lineRule="auto"/>
        <w:ind w:firstLine="245"/>
        <w:jc w:val="both"/>
      </w:pPr>
      <w:r>
        <w:rPr>
          <w:rFonts w:ascii="Times New Roman" w:cs="Times New Roman" w:eastAsia="Times New Roman" w:hAnsi="Times New Roman"/>
          <w:b w:val="0"/>
          <w:i w:val="0"/>
          <w:sz w:val="18"/>
          <w:szCs w:val="20"/>
        </w:rPr>
        <w:t xml:space="preserve">The prototype is to be evaluated on a curated set of public repositories covering single-service Node.js and Python applications, front-end applications and repositories with separate client and server folders (Table V). For each repository, an evaluator records the expected language, framework, package manager, start command, ports and service boundaries before running SentinelOps. Each detected field is then scored against that record. A field that matches counts as a true positive (TP), a field that is detected but wrong or unsupported counts as a false positive (FP), and an expected field that is missing counts as a false negative (FN). Detection precision, recall and their harmonic mean follow from these counts:</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FP</w:t>
      </w:r>
      <w:r>
        <w:rPr>
          <w:rFonts w:ascii="Times New Roman" w:cs="Times New Roman" w:eastAsia="Times New Roman" w:hAnsi="Times New Roman"/>
          <w:b w:val="0"/>
          <w:i w:val="0"/>
          <w:sz w:val="18"/>
          <w:szCs w:val="20"/>
        </w:rPr>
        <w:t xml:space="preserve">)</w:t>
      </w:r>
      <w:r>
        <w:rPr>
          <w:rFonts w:ascii="Times New Roman" w:cs="Times New Roman" w:eastAsia="Times New Roman" w:hAnsi="Times New Roman"/>
          <w:b w:val="0"/>
          <w:i w:val="0"/>
          <w:sz w:val="18"/>
          <w:szCs w:val="20"/>
        </w:rPr>
        <w:t xml:space="preserve">	(1)</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R</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TP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FN</w:t>
      </w:r>
      <w:r>
        <w:rPr>
          <w:rFonts w:ascii="Times New Roman" w:cs="Times New Roman" w:eastAsia="Times New Roman" w:hAnsi="Times New Roman"/>
          <w:b w:val="0"/>
          <w:i w:val="0"/>
          <w:sz w:val="18"/>
          <w:szCs w:val="20"/>
        </w:rPr>
        <w:t xml:space="preserve">)</w:t>
      </w:r>
      <w:r>
        <w:rPr>
          <w:rFonts w:ascii="Times New Roman" w:cs="Times New Roman" w:eastAsia="Times New Roman" w:hAnsi="Times New Roman"/>
          <w:b w:val="0"/>
          <w:i w:val="0"/>
          <w:sz w:val="18"/>
          <w:szCs w:val="20"/>
        </w:rPr>
        <w:t xml:space="preserve">	(2)</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F</w:t>
      </w:r>
      <w:r>
        <w:rPr>
          <w:rFonts w:ascii="Times New Roman" w:cs="Times New Roman" w:eastAsia="Times New Roman" w:hAnsi="Times New Roman"/>
          <w:b w:val="0"/>
          <w:i w:val="0"/>
          <w:sz w:val="18"/>
          <w:szCs w:val="20"/>
          <w:vertAlign w:val="subscript"/>
        </w:rPr>
        <w:t xml:space="preserve">1</w:t>
      </w:r>
      <w:r>
        <w:rPr>
          <w:rFonts w:ascii="Times New Roman" w:cs="Times New Roman" w:eastAsia="Times New Roman" w:hAnsi="Times New Roman"/>
          <w:b w:val="0"/>
          <w:i w:val="0"/>
          <w:sz w:val="18"/>
          <w:szCs w:val="20"/>
        </w:rPr>
        <w:t xml:space="preserve"> = 2</w:t>
      </w:r>
      <w:r>
        <w:rPr>
          <w:rFonts w:ascii="Times New Roman" w:cs="Times New Roman" w:eastAsia="Times New Roman" w:hAnsi="Times New Roman"/>
          <w:b w:val="0"/>
          <w:i w:val="0"/>
          <w:iCs/>
          <w:sz w:val="18"/>
          <w:szCs w:val="20"/>
        </w:rPr>
        <w:t xml:space="preserve">PR</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P</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R</w:t>
      </w:r>
      <w:r>
        <w:rPr>
          <w:rFonts w:ascii="Times New Roman" w:cs="Times New Roman" w:eastAsia="Times New Roman" w:hAnsi="Times New Roman"/>
          <w:b w:val="0"/>
          <w:i w:val="0"/>
          <w:sz w:val="18"/>
          <w:szCs w:val="20"/>
        </w:rPr>
        <w:t xml:space="preserve">)</w:t>
      </w:r>
      <w:r>
        <w:rPr>
          <w:rFonts w:ascii="Times New Roman" w:cs="Times New Roman" w:eastAsia="Times New Roman" w:hAnsi="Times New Roman"/>
          <w:b w:val="0"/>
          <w:i w:val="0"/>
          <w:sz w:val="18"/>
          <w:szCs w:val="20"/>
        </w:rPr>
        <w:t xml:space="preserve">	(3)</w:t>
      </w:r>
    </w:p>
    <w:p>
      <w:pPr>
        <w:spacing w:after="60" w:line="240" w:lineRule="auto"/>
        <w:jc w:val="both"/>
      </w:pPr>
      <w:r>
        <w:rPr>
          <w:rFonts w:ascii="Times New Roman" w:cs="Times New Roman" w:eastAsia="Times New Roman" w:hAnsi="Times New Roman"/>
          <w:b w:val="0"/>
          <w:i w:val="0"/>
          <w:sz w:val="18"/>
          <w:szCs w:val="20"/>
        </w:rPr>
        <w:t xml:space="preserve">Two further measures complete the picture: the rate of correct local launch instructions, and the manual correction rate</w:t>
      </w:r>
    </w:p>
    <w:p>
      <w:pPr>
        <w:tabs>
          <w:tab w:val="center" w:pos="2610"/>
          <w:tab w:val="right" w:pos="5220"/>
        </w:tabs>
        <w:spacing w:after="60" w:before="40" w:line="240" w:lineRule="auto"/>
        <w:jc w:val="both"/>
      </w:pPr>
      <w:r>
        <w:rPr>
          <w:rFonts w:ascii="Times New Roman" w:cs="Times New Roman" w:eastAsia="Times New Roman" w:hAnsi="Times New Roman"/>
          <w:b w:val="0"/>
          <w:i w:val="0"/>
          <w:sz w:val="18"/>
          <w:szCs w:val="20"/>
        </w:rPr>
        <w:t xml:space="preserve">	</w:t>
      </w:r>
      <w:r>
        <w:rPr>
          <w:rFonts w:ascii="Times New Roman" w:cs="Times New Roman" w:eastAsia="Times New Roman" w:hAnsi="Times New Roman"/>
          <w:b w:val="0"/>
          <w:i w:val="0"/>
          <w:iCs/>
          <w:sz w:val="18"/>
          <w:szCs w:val="20"/>
        </w:rPr>
        <w:t xml:space="preserve">C</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corr</w:t>
      </w:r>
      <w:r>
        <w:rPr>
          <w:rFonts w:ascii="Times New Roman" w:cs="Times New Roman" w:eastAsia="Times New Roman" w:hAnsi="Times New Roman"/>
          <w:b w:val="0"/>
          <w:i w:val="0"/>
          <w:sz w:val="18"/>
          <w:szCs w:val="20"/>
        </w:rPr>
        <w:t xml:space="preserve"> /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gen</w:t>
      </w:r>
      <w:r>
        <w:rPr>
          <w:rFonts w:ascii="Times New Roman" w:cs="Times New Roman" w:eastAsia="Times New Roman" w:hAnsi="Times New Roman"/>
          <w:b w:val="0"/>
          <w:i w:val="0"/>
          <w:sz w:val="18"/>
          <w:szCs w:val="20"/>
        </w:rPr>
        <w:t xml:space="preserve">	(4)</w:t>
      </w:r>
    </w:p>
    <w:p>
      <w:pPr>
        <w:spacing w:after="60" w:line="240" w:lineRule="auto"/>
        <w:jc w:val="both"/>
      </w:pPr>
      <w:r>
        <w:rPr>
          <w:rFonts w:ascii="Times New Roman" w:cs="Times New Roman" w:eastAsia="Times New Roman" w:hAnsi="Times New Roman"/>
          <w:b w:val="0"/>
          <w:i w:val="0"/>
          <w:sz w:val="18"/>
          <w:szCs w:val="20"/>
        </w:rPr>
        <w:t xml:space="preserve">where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corr</w:t>
      </w:r>
      <w:r>
        <w:rPr>
          <w:rFonts w:ascii="Times New Roman" w:cs="Times New Roman" w:eastAsia="Times New Roman" w:hAnsi="Times New Roman"/>
          <w:b w:val="0"/>
          <w:i w:val="0"/>
          <w:sz w:val="18"/>
          <w:szCs w:val="20"/>
        </w:rPr>
        <w:t xml:space="preserve"> is the number of generated artifacts that need a manual edit and </w:t>
      </w:r>
      <w:r>
        <w:rPr>
          <w:rFonts w:ascii="Times New Roman" w:cs="Times New Roman" w:eastAsia="Times New Roman" w:hAnsi="Times New Roman"/>
          <w:b w:val="0"/>
          <w:i w:val="0"/>
          <w:iCs/>
          <w:sz w:val="18"/>
          <w:szCs w:val="20"/>
        </w:rPr>
        <w:t xml:space="preserve">N</w:t>
      </w:r>
      <w:r>
        <w:rPr>
          <w:rFonts w:ascii="Times New Roman" w:cs="Times New Roman" w:eastAsia="Times New Roman" w:hAnsi="Times New Roman"/>
          <w:b w:val="0"/>
          <w:i w:val="0"/>
          <w:sz w:val="18"/>
          <w:szCs w:val="20"/>
          <w:vertAlign w:val="subscript"/>
        </w:rPr>
        <w:t xml:space="preserve">gen</w:t>
      </w:r>
      <w:r>
        <w:rPr>
          <w:rFonts w:ascii="Times New Roman" w:cs="Times New Roman" w:eastAsia="Times New Roman" w:hAnsi="Times New Roman"/>
          <w:b w:val="0"/>
          <w:i w:val="0"/>
          <w:sz w:val="18"/>
          <w:szCs w:val="20"/>
        </w:rPr>
        <w:t xml:space="preserve"> is the number of artifacts generated.</w:t>
      </w:r>
    </w:p>
    <w:p>
      <w:pPr>
        <w:keepNext/>
        <w:spacing w:after="60" w:before="40"/>
        <w:jc w:val="center"/>
      </w:pPr>
      <w:r>
        <w:rPr>
          <w:rFonts w:ascii="Times New Roman" w:hAnsi="Times New Roman" w:eastAsia="Times New Roman"/>
          <w:b/>
          <w:i w:val="0"/>
          <w:sz w:val="18"/>
        </w:rPr>
        <w:t>Table 5. Proposed Repository Evaluation Cases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2070"/>
      </w:tblGrid>
      <w:tr>
        <w:trPr>
          <w:cantSplit/>
          <w:tblHeader/>
        </w:trPr>
        <w:tc>
          <w:tcPr>
            <w:tcW w:type="dxa" w:w="150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Project shape</w:t>
            </w:r>
          </w:p>
        </w:tc>
        <w:tc>
          <w:tcPr>
            <w:tcW w:type="dxa" w:w="16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Expected finding</w:t>
            </w:r>
          </w:p>
        </w:tc>
        <w:tc>
          <w:tcPr>
            <w:tcW w:type="dxa" w:w="20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i w:val="0"/>
                <w:sz w:val="17"/>
                <w:szCs w:val="16"/>
              </w:rPr>
              <w:t xml:space="preserve">Evidence reviewed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Single API</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Runtime and port</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Manifest, scripts and source entry point</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Web client</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Framework and build command</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Dependencies, lock file and public assets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Client plus server</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Two services and URLs</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i w:val="0"/>
                <w:sz w:val="17"/>
                <w:szCs w:val="16"/>
              </w:rPr>
              <w:t xml:space="preserve">Independent manifests and folders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Container-ready repository</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Existing files preserved</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i w:val="0"/>
                <w:sz w:val="17"/>
                <w:szCs w:val="16"/>
              </w:rPr>
              <w:t xml:space="preserve">Docker and Compose configuration</w:t>
            </w:r>
          </w:p>
        </w:tc>
      </w:tr>
    </w:tbl>
    <w:p>
      <w:pPr>
        <w:spacing w:after="60" w:line="240" w:lineRule="auto"/>
        <w:jc w:val="both"/>
      </w:pPr>
    </w:p>
    <w:p>
      <w:pPr>
        <w:pStyle w:val="Heading2"/>
        <w:keepNext/>
        <w:spacing w:after="40" w:before="80"/>
        <w:jc w:val="left"/>
      </w:pPr>
      <w:r>
        <w:rPr>
          <w:rFonts w:ascii="Times New Roman" w:cs="Times New Roman" w:eastAsia="Times New Roman" w:hAnsi="Times New Roman"/>
          <w:b/>
          <w:i/>
          <w:iCs/>
          <w:sz w:val="18"/>
          <w:szCs w:val="20"/>
        </w:rPr>
        <w:t xml:space="preserve">B. Operational Transparency</w:t>
      </w:r>
    </w:p>
    <w:p>
      <w:pPr>
        <w:spacing w:after="60" w:line="240" w:lineRule="auto"/>
        <w:ind w:firstLine="245"/>
        <w:jc w:val="both"/>
      </w:pPr>
      <w:r>
        <w:rPr>
          <w:rFonts w:ascii="Times New Roman" w:cs="Times New Roman" w:eastAsia="Times New Roman" w:hAnsi="Times New Roman"/>
          <w:b w:val="0"/>
          <w:i w:val="0"/>
          <w:sz w:val="18"/>
          <w:szCs w:val="20"/>
        </w:rPr>
        <w:t xml:space="preserve">A second evaluation examines operational transparency. Participants should be able to identify the selected deployment profile, the command used for local validation, the container image tag, the metrics endpoint and the condition that would trigger scaling. A short user study could compare this workflow with a manual checklist. The aim is to find missing evidence and confusing defaults, not to make unsupported claims about deployment speed or reliability.</w:t>
      </w:r>
    </w:p>
    <w:p>
      <w:pPr>
        <w:pStyle w:val="Heading2"/>
        <w:keepNext/>
        <w:spacing w:after="60" w:before="120"/>
        <w:jc w:val="center"/>
      </w:pPr>
      <w:r>
        <w:rPr>
          <w:rFonts w:ascii="Times New Roman" w:cs="Times New Roman" w:eastAsia="Times New Roman" w:hAnsi="Times New Roman"/>
          <w:b/>
          <w:i w:val="0"/>
          <w:iCs/>
          <w:sz w:val="22"/>
          <w:szCs w:val="20"/>
        </w:rPr>
        <w:t xml:space="preserve">C. Manual Correction and Failure Tests</w:t>
      </w:r>
    </w:p>
    <w:p>
      <w:pPr>
        <w:spacing w:after="60" w:line="240" w:lineRule="auto"/>
        <w:ind w:firstLine="245"/>
        <w:jc w:val="both"/>
      </w:pPr>
      <w:r>
        <w:rPr>
          <w:rFonts w:ascii="Times New Roman" w:cs="Times New Roman" w:eastAsia="Times New Roman" w:hAnsi="Times New Roman"/>
          <w:b w:val="0"/>
          <w:i w:val="0"/>
          <w:sz w:val="18"/>
          <w:szCs w:val="20"/>
        </w:rPr>
        <w:t xml:space="preserve">The evaluation should also score how well manual correction works. An evaluator deliberately changes a command, a port or a framework field and then checks whether the regenerated Dockerfile, pipeline and deployment artifacts reflect the new value. A good result is not just a high automatic detection rate. It is a tool that stays coherent after a user corrects the detector, which matters because repositories often contain legacy scripts or examples that should not be chosen as a production entry point.</w:t>
      </w:r>
    </w:p>
    <w:p>
      <w:pPr>
        <w:spacing w:after="60" w:line="240" w:lineRule="auto"/>
        <w:ind w:firstLine="245"/>
        <w:jc w:val="both"/>
      </w:pPr>
      <w:r>
        <w:rPr>
          <w:rFonts w:ascii="Times New Roman" w:cs="Times New Roman" w:eastAsia="Times New Roman" w:hAnsi="Times New Roman"/>
          <w:b w:val="0"/>
          <w:i w:val="0"/>
          <w:sz w:val="18"/>
          <w:szCs w:val="20"/>
        </w:rPr>
        <w:t xml:space="preserve">Failure-oriented tests are equally important. The test set should include an invalid Git URL, a private repository without access, a dependency-install failure, a missing runtime, a server that starts but never answers the health probe, a missing Docker engine and a missing metrics endpoint. For each case the evaluator records whether SentinelOps preserves the project state, exposes the source of the error, avoids showing a misleading ready status and offers a useful next action. The same suite should include a declined approval request, to confirm that the self-healing loop leaves the environment untouched. These tests measure the reliability of the workflow itself, not the performance of any particular application.</w:t>
      </w:r>
    </w:p>
    <w:p>
      <w:pPr>
        <w:pStyle w:val="Heading2"/>
        <w:keepNext/>
        <w:spacing w:after="60" w:before="120"/>
        <w:jc w:val="center"/>
      </w:pPr>
      <w:r>
        <w:rPr>
          <w:rFonts w:ascii="Times New Roman" w:cs="Times New Roman" w:eastAsia="Times New Roman" w:hAnsi="Times New Roman"/>
          <w:b/>
          <w:i w:val="0"/>
          <w:iCs/>
          <w:sz w:val="22"/>
          <w:szCs w:val="20"/>
        </w:rPr>
        <w:t xml:space="preserve">D. Reporting</w:t>
      </w:r>
    </w:p>
    <w:p>
      <w:pPr>
        <w:spacing w:after="60" w:line="240" w:lineRule="auto"/>
        <w:ind w:firstLine="245"/>
        <w:jc w:val="both"/>
      </w:pPr>
      <w:r>
        <w:rPr>
          <w:rFonts w:ascii="Times New Roman" w:cs="Times New Roman" w:eastAsia="Times New Roman" w:hAnsi="Times New Roman"/>
          <w:b w:val="0"/>
          <w:i w:val="0"/>
          <w:sz w:val="18"/>
          <w:szCs w:val="20"/>
        </w:rPr>
        <w:t xml:space="preserve">No numeric results are reported in this paper, because the full benchmark set and the participant study have not yet been completed. The prototype demonstrates the architecture and the generated artifacts, and the proposed study defines how accuracy and usability will be measured later. Reported results should include the repository sample, exact software versions, manual overrides and failures, so that another student team can repeat the comparison.</w:t>
      </w:r>
    </w:p>
    <w:p>
      <w:pPr>
        <w:pStyle w:val="Heading1"/>
        <w:keepNext/>
        <w:spacing w:after="60" w:before="120"/>
        <w:jc w:val="center"/>
      </w:pPr>
      <w:r>
        <w:rPr>
          <w:rFonts w:ascii="Times New Roman" w:hAnsi="Times New Roman" w:eastAsia="Times New Roman"/>
          <w:b/>
          <w:i w:val="0"/>
          <w:sz w:val="22"/>
        </w:rPr>
        <w:t>X. LIMITATIONS AND FUTURE WORK</w:t>
      </w:r>
    </w:p>
    <w:p>
      <w:pPr>
        <w:pStyle w:val="Heading2"/>
        <w:keepNext/>
        <w:spacing w:after="40" w:before="80"/>
        <w:jc w:val="left"/>
      </w:pPr>
      <w:r>
        <w:rPr>
          <w:rFonts w:ascii="Times New Roman" w:cs="Times New Roman" w:eastAsia="Times New Roman" w:hAnsi="Times New Roman"/>
          <w:b/>
          <w:i/>
          <w:iCs/>
          <w:sz w:val="18"/>
          <w:szCs w:val="20"/>
        </w:rPr>
        <w:t xml:space="preserve">A. Limitations and Security Requirements</w:t>
      </w:r>
    </w:p>
    <w:p>
      <w:pPr>
        <w:spacing w:after="60" w:line="240" w:lineRule="auto"/>
        <w:ind w:firstLine="245"/>
        <w:jc w:val="both"/>
      </w:pPr>
      <w:r>
        <w:rPr>
          <w:rFonts w:ascii="Times New Roman" w:cs="Times New Roman" w:eastAsia="Times New Roman" w:hAnsi="Times New Roman"/>
          <w:b w:val="0"/>
          <w:i w:val="0"/>
          <w:sz w:val="18"/>
          <w:szCs w:val="20"/>
        </w:rPr>
        <w:t xml:space="preserve">Repository inspection cannot reliably discover every runtime requirement. Private registries, undocumented environment variables, external databases and shell scripts may all need manual input. Stack selection also depends on the quality of the underlying evidence and on the optional language-model recommendation, which is why SentinelOps records both its own detection and the final selections of the user. The AI component of the current prototype is limited to recommendation and explanation, and failure detection relies on health probes and configured thresholds rather than a trained model. Future work could add signed artifact provenance, secret scanning, configurable policy checks, richer service discovery and a controlled approval workflow for remote deployment.</w:t>
      </w:r>
    </w:p>
    <w:p>
      <w:pPr>
        <w:spacing w:after="60" w:line="240" w:lineRule="auto"/>
        <w:ind w:firstLine="245"/>
        <w:jc w:val="both"/>
      </w:pPr>
      <w:r>
        <w:rPr>
          <w:rFonts w:ascii="Times New Roman" w:cs="Times New Roman" w:eastAsia="Times New Roman" w:hAnsi="Times New Roman"/>
          <w:b w:val="0"/>
          <w:i w:val="0"/>
          <w:sz w:val="18"/>
          <w:szCs w:val="20"/>
        </w:rPr>
        <w:t xml:space="preserve">More security work is needed before SentinelOps is used outside a controlled development setting. Generated containers should run with least privilege, use small and maintained base images and avoid embedding secrets. CI/CD credentials belong in the secret store of the provider, not in generated YAML files. A production deployment path should include access review, image scanning, signed releases and a rollback plan. These controls are stated here as requirements, not as capabilities the tool already has.</w:t>
      </w:r>
    </w:p>
    <w:p>
      <w:pPr>
        <w:pStyle w:val="Heading2"/>
        <w:keepNext/>
        <w:spacing w:after="40" w:before="80"/>
        <w:jc w:val="left"/>
      </w:pPr>
      <w:r>
        <w:rPr>
          <w:rFonts w:ascii="Times New Roman" w:cs="Times New Roman" w:eastAsia="Times New Roman" w:hAnsi="Times New Roman"/>
          <w:b/>
          <w:i/>
          <w:iCs/>
          <w:sz w:val="18"/>
          <w:szCs w:val="20"/>
        </w:rPr>
        <w:t xml:space="preserve">B. Scope of Automation and Future Directions</w:t>
      </w:r>
    </w:p>
    <w:p>
      <w:pPr>
        <w:spacing w:after="60" w:line="240" w:lineRule="auto"/>
        <w:ind w:firstLine="245"/>
        <w:jc w:val="both"/>
      </w:pPr>
      <w:r>
        <w:rPr>
          <w:rFonts w:ascii="Times New Roman" w:cs="Times New Roman" w:eastAsia="Times New Roman" w:hAnsi="Times New Roman"/>
          <w:b w:val="0"/>
          <w:i w:val="0"/>
          <w:sz w:val="18"/>
          <w:szCs w:val="20"/>
        </w:rPr>
        <w:t xml:space="preserve">The current scope excludes autonomous code changes. A language model can help interpret logs or describe a likely configuration problem, but it may propose a fix that sounds plausible and is wrong. SentinelOps therefore limits automated behavior to inspection, generation, local process control, health observation and recommendations that a user can review. Future versions could add a sandboxed repair branch, a test-only validation gate and a pull-request workflow for proposed changes. That approach would keep human review in place while making recovery experiments more systematic. A learned anomaly detector trained on the health and metric history of a project could also replace fixed thresholds as the trigger for the self-healing loop, provided its alerts stay explainable.</w:t>
      </w:r>
    </w:p>
    <w:p>
      <w:pPr>
        <w:spacing w:after="60" w:line="240" w:lineRule="auto"/>
        <w:ind w:firstLine="245"/>
        <w:jc w:val="both"/>
      </w:pPr>
      <w:r>
        <w:rPr>
          <w:rFonts w:ascii="Times New Roman" w:cs="Times New Roman" w:eastAsia="Times New Roman" w:hAnsi="Times New Roman"/>
          <w:b w:val="0"/>
          <w:i w:val="0"/>
          <w:sz w:val="18"/>
          <w:szCs w:val="20"/>
        </w:rPr>
        <w:t xml:space="preserve">Richer architecture discovery is another direction worth pursuing. A repository may contain infrastructure modules, database migrations, message queues, mobile clients or several deployable services. Representing these components explicitly in the project model would improve deployment recommendations, and the same model could support cost-aware choices, environment-specific configuration and dependency graphs. Any such extension should preserve the present principle that generated conclusions can be traced to files, user selections or stated operational policies.</w:t>
      </w:r>
    </w:p>
    <w:p>
      <w:pPr>
        <w:pStyle w:val="Heading1"/>
        <w:keepNext/>
        <w:spacing w:after="60" w:before="120"/>
        <w:jc w:val="center"/>
      </w:pPr>
      <w:r>
        <w:rPr>
          <w:rFonts w:ascii="Times New Roman" w:hAnsi="Times New Roman" w:eastAsia="Times New Roman"/>
          <w:b/>
          <w:i w:val="0"/>
          <w:sz w:val="22"/>
        </w:rPr>
        <w:t>XI. CONCLUSION</w:t>
      </w:r>
    </w:p>
    <w:p>
      <w:pPr>
        <w:spacing w:after="60" w:line="240" w:lineRule="auto"/>
        <w:ind w:firstLine="245"/>
        <w:jc w:val="both"/>
      </w:pPr>
      <w:r>
        <w:rPr>
          <w:rFonts w:ascii="Times New Roman" w:cs="Times New Roman" w:eastAsia="Times New Roman" w:hAnsi="Times New Roman"/>
          <w:b w:val="0"/>
          <w:i w:val="0"/>
          <w:sz w:val="18"/>
          <w:szCs w:val="20"/>
        </w:rPr>
        <w:t xml:space="preserve">SentinelOps offers a practical path from a Git repository to a reviewed DevOps plan and a supervised operating loop. The central idea is simple: inspect the project, confirm that it runs locally and only then generate assets for containers, CI/CD, deployment and monitoring. The autonomy of the platform is real but bounded. It discovers, generates, validates and diagnoses on its own, and it leaves every decision that changes a running environment to the user. These properties make it suitable for learning, for project demonstrations and for small teams that need a repeatable starting point for delivery automation. The planned evaluation on public repositories will show how well the detector and the generated assets hold up in practice.</w:t>
      </w:r>
    </w:p>
    <w:p>
      <w:pPr>
        <w:pStyle w:val="Heading1"/>
        <w:keepNext/>
        <w:spacing w:after="60" w:before="120"/>
        <w:jc w:val="center"/>
      </w:pPr>
      <w:r>
        <w:rPr>
          <w:rFonts w:ascii="Times New Roman" w:hAnsi="Times New Roman" w:eastAsia="Times New Roman"/>
          <w:b/>
          <w:i w:val="0"/>
          <w:sz w:val="22"/>
        </w:rPr>
        <w:t>REFERENCES</w:t>
      </w:r>
    </w:p>
    <w:p>
      <w:pPr>
        <w:spacing w:after="40"/>
        <w:ind w:left="216" w:hanging="216"/>
        <w:jc w:val="both"/>
      </w:pPr>
      <w:r>
        <w:rPr>
          <w:rFonts w:ascii="Times New Roman" w:hAnsi="Times New Roman" w:eastAsia="Times New Roman"/>
          <w:b w:val="0"/>
          <w:i w:val="0"/>
          <w:sz w:val="18"/>
        </w:rPr>
        <w:t>[1] Kiran Raj K. M., Karthik K. Poojary, Abhay, Aishwarya R. S.,and Lathesh Kumar S. R., “AI-driven DevOps for intelligent automation in continuous software delivery pipelines,” in Proceedings of the 5th International Conference on Evolutionary Computing and Mobile Sustainable Networks (ICECMSN), 2025, pp. 433–440.</w:t>
      </w:r>
    </w:p>
    <w:p>
      <w:pPr>
        <w:spacing w:after="40"/>
        <w:ind w:left="216" w:hanging="216"/>
        <w:jc w:val="both"/>
      </w:pPr>
      <w:r>
        <w:rPr>
          <w:rFonts w:ascii="Times New Roman" w:hAnsi="Times New Roman" w:eastAsia="Times New Roman"/>
          <w:b w:val="0"/>
          <w:i w:val="0"/>
          <w:sz w:val="18"/>
        </w:rPr>
        <w:t>[2] J. Humble and D. Farley, Continuous Delivery: Reliable Software Releases through Build, Test, and Deployment Automation. Boston, MA, USA: Addison-Wesley Professional, 2010.</w:t>
      </w:r>
    </w:p>
    <w:p>
      <w:pPr>
        <w:spacing w:after="40"/>
        <w:ind w:left="216" w:hanging="216"/>
        <w:jc w:val="both"/>
      </w:pPr>
      <w:r>
        <w:rPr>
          <w:rFonts w:ascii="Times New Roman" w:hAnsi="Times New Roman" w:eastAsia="Times New Roman"/>
          <w:b w:val="0"/>
          <w:i w:val="0"/>
          <w:sz w:val="18"/>
        </w:rPr>
        <w:t>[3] D. Merkel, “Docker: Lightweight Linux containers for consistent development and deployment,” Linux Journal, vol. 2014, no. 239, pp. 1–8, 2014.</w:t>
      </w:r>
    </w:p>
    <w:p>
      <w:pPr>
        <w:spacing w:after="40"/>
        <w:ind w:left="216" w:hanging="216"/>
        <w:jc w:val="both"/>
      </w:pPr>
      <w:r>
        <w:rPr>
          <w:rFonts w:ascii="Times New Roman" w:hAnsi="Times New Roman" w:eastAsia="Times New Roman"/>
          <w:b w:val="0"/>
          <w:i w:val="0"/>
          <w:sz w:val="18"/>
        </w:rPr>
        <w:t>[4] M. Köse and E. U. Küçüksille, “From DevOps to XOps: An agent-driven reference architecture for autonomous enterprise operations,” Scientific Reports, 2026.</w:t>
      </w:r>
    </w:p>
    <w:p>
      <w:pPr>
        <w:spacing w:after="40"/>
        <w:ind w:left="216" w:hanging="216"/>
        <w:jc w:val="both"/>
      </w:pPr>
      <w:r>
        <w:rPr>
          <w:rFonts w:ascii="Times New Roman" w:hAnsi="Times New Roman" w:eastAsia="Times New Roman"/>
          <w:b w:val="0"/>
          <w:i w:val="0"/>
          <w:sz w:val="18"/>
        </w:rPr>
        <w:t>[5] S. R. Dileep Kumar and J. Mathew, “ML-driven DevOps: An empirical framework for predictive optimization and intelligent automation in CI/CD pipelines,” Software: Practice and Experience, 2026.</w:t>
      </w:r>
    </w:p>
    <w:p>
      <w:pPr>
        <w:spacing w:after="40"/>
        <w:ind w:left="216" w:hanging="216"/>
        <w:jc w:val="both"/>
      </w:pPr>
      <w:r>
        <w:rPr>
          <w:rFonts w:ascii="Times New Roman" w:hAnsi="Times New Roman" w:eastAsia="Times New Roman"/>
          <w:b w:val="0"/>
          <w:i w:val="0"/>
          <w:sz w:val="18"/>
        </w:rPr>
        <w:t>[6] F. J. Stonebridge, “Machine learning-driven DevOps: A unified framework for autonomous software operations,” American Applied Science and Technology Journal, vol. 6, no. 2, pp. 30–36, 2026.</w:t>
      </w:r>
    </w:p>
    <w:p>
      <w:pPr>
        <w:spacing w:after="40"/>
        <w:ind w:left="216" w:hanging="216"/>
        <w:jc w:val="both"/>
      </w:pPr>
      <w:r>
        <w:rPr>
          <w:rFonts w:ascii="Times New Roman" w:hAnsi="Times New Roman" w:eastAsia="Times New Roman"/>
          <w:b w:val="0"/>
          <w:i w:val="0"/>
          <w:sz w:val="18"/>
        </w:rPr>
        <w:t>[7] M. Esposito, M. Robredo, A. Bakhtin, D. Taibi, and V. Lenarduzzi, “Generative AI as an infrastructure copilot: Automating Infrastructure-as-Code across the DevSecOps lifecycle,” Automated Software Engineering, vol. 33, art. 58, 2026.</w:t>
      </w:r>
    </w:p>
    <w:p>
      <w:pPr>
        <w:spacing w:after="40"/>
        <w:ind w:left="216" w:hanging="216"/>
        <w:jc w:val="both"/>
      </w:pPr>
      <w:r>
        <w:rPr>
          <w:rFonts w:ascii="Times New Roman" w:hAnsi="Times New Roman" w:eastAsia="Times New Roman"/>
          <w:b w:val="0"/>
          <w:i w:val="0"/>
          <w:sz w:val="18"/>
        </w:rPr>
        <w:t>[8] M. Baqar, S. Naqvi, and R. Khanda, “AI-augmented CI/CD pipelines: From code commit to production with autonomous decisions,” arXiv Preprint, 2025.</w:t>
      </w:r>
    </w:p>
    <w:p>
      <w:pPr>
        <w:spacing w:after="40"/>
        <w:ind w:left="216" w:hanging="216"/>
        <w:jc w:val="both"/>
      </w:pPr>
      <w:r>
        <w:rPr>
          <w:rFonts w:ascii="Times New Roman" w:hAnsi="Times New Roman" w:eastAsia="Times New Roman"/>
          <w:b w:val="0"/>
          <w:i w:val="0"/>
          <w:sz w:val="18"/>
        </w:rPr>
        <w:t>[9] J. A. C. et al., “An architecture for model-based and intelligent automation in DevOps,” Journal of Systems and Software, vol. 217, art. 112180, 2024.</w:t>
      </w:r>
    </w:p>
    <w:p>
      <w:pPr>
        <w:spacing w:after="40"/>
        <w:ind w:left="216" w:hanging="216"/>
        <w:jc w:val="both"/>
      </w:pPr>
      <w:r>
        <w:rPr>
          <w:rFonts w:ascii="Times New Roman" w:hAnsi="Times New Roman" w:eastAsia="Times New Roman"/>
          <w:b w:val="0"/>
          <w:i w:val="0"/>
          <w:sz w:val="18"/>
        </w:rPr>
        <w:t>[10] “AIDOaRt: AI-augmented automation for DevOps, a model-based framework for continuous development in cyber–physical systems,” Microprocessors and Microsystems, vol. 94, art. 104672, 2022.</w:t>
      </w:r>
    </w:p>
    <w:p>
      <w:pPr>
        <w:spacing w:after="40"/>
        <w:ind w:left="216" w:hanging="216"/>
        <w:jc w:val="both"/>
      </w:pPr>
      <w:r>
        <w:rPr>
          <w:rFonts w:ascii="Times New Roman" w:hAnsi="Times New Roman" w:eastAsia="Times New Roman"/>
          <w:b w:val="0"/>
          <w:i w:val="0"/>
          <w:sz w:val="18"/>
        </w:rPr>
        <w:t>[11] D. Rodríguez et al., “The pipeline for the continuous development of artificial intelligence models: Current state of research and practice,” Journal of Systems and Software, vol. 199, art. 111615, 2023.</w:t>
      </w:r>
    </w:p>
    <w:p>
      <w:pPr>
        <w:spacing w:after="40"/>
        <w:ind w:left="216" w:hanging="216"/>
        <w:jc w:val="both"/>
      </w:pPr>
      <w:r>
        <w:rPr>
          <w:rFonts w:ascii="Times New Roman" w:hAnsi="Times New Roman" w:eastAsia="Times New Roman"/>
          <w:b w:val="0"/>
          <w:i w:val="0"/>
          <w:sz w:val="18"/>
        </w:rPr>
        <w:t>[12] R. Kakarla and S. B. Sannareddy, “AI-driven DevOps automation for CI/CD pipeline optimization,” Eastasouth Journal of Information System and Computer Science, vol. 2, no. 1, 2024.</w:t>
      </w:r>
    </w:p>
    <w:p>
      <w:pPr>
        <w:spacing w:after="40"/>
        <w:ind w:left="216" w:hanging="216"/>
        <w:jc w:val="both"/>
      </w:pPr>
      <w:r>
        <w:rPr>
          <w:rFonts w:ascii="Times New Roman" w:hAnsi="Times New Roman" w:eastAsia="Times New Roman"/>
          <w:b w:val="0"/>
          <w:i w:val="0"/>
          <w:sz w:val="18"/>
        </w:rPr>
        <w:t>[13] S. Vollem, “From deterministic pipelines to intelligent orchestration: A transformer-driven framework for LLM-augmented DevOps automation,” International Journal of Research Publications in Engineering, Technology and Management, 2024.</w:t>
      </w:r>
    </w:p>
    <w:p>
      <w:pPr>
        <w:spacing w:after="40"/>
        <w:ind w:left="216" w:hanging="216"/>
        <w:jc w:val="both"/>
      </w:pPr>
      <w:r>
        <w:rPr>
          <w:rFonts w:ascii="Times New Roman" w:hAnsi="Times New Roman" w:eastAsia="Times New Roman"/>
          <w:b w:val="0"/>
          <w:i w:val="0"/>
          <w:sz w:val="18"/>
        </w:rPr>
        <w:t>[14] H. A. et al., “Intelligent automation: Leveraging large language models in DevOps toolchains,” International Journal of AI, BigData, Computational and Management Studies, 2024.</w:t>
      </w:r>
    </w:p>
    <w:p>
      <w:pPr>
        <w:spacing w:after="40"/>
        <w:ind w:left="216" w:hanging="216"/>
        <w:jc w:val="both"/>
      </w:pPr>
      <w:r>
        <w:rPr>
          <w:rFonts w:ascii="Times New Roman" w:hAnsi="Times New Roman" w:eastAsia="Times New Roman"/>
          <w:b w:val="0"/>
          <w:i w:val="0"/>
          <w:sz w:val="18"/>
        </w:rPr>
        <w:t>[15] P. Gupta, “Autonomous DevOps pipelines using multi-agent systems for enterprise-grade cloud delivery,” International Journal of Artificial Intelligence, Data Science, and Machine Learning, 2025.</w:t>
      </w:r>
    </w:p>
    <w:p>
      <w:pPr>
        <w:spacing w:after="40"/>
        <w:ind w:left="216" w:hanging="216"/>
        <w:jc w:val="both"/>
      </w:pPr>
      <w:r>
        <w:rPr>
          <w:rFonts w:ascii="Times New Roman" w:hAnsi="Times New Roman" w:eastAsia="Times New Roman"/>
          <w:b w:val="0"/>
          <w:i w:val="0"/>
          <w:sz w:val="18"/>
        </w:rPr>
        <w:t>[16] A. Amar, I. Qaiser, and A. Kanwal, “From automation to autonomy: A survey of agentic workflows in CI/CD orchestration,” International Journal of Innovations in Science &amp; Technology, 2026.</w:t>
      </w:r>
    </w:p>
    <w:p>
      <w:pPr>
        <w:spacing w:after="40"/>
        <w:ind w:left="216" w:hanging="216"/>
        <w:jc w:val="both"/>
      </w:pPr>
      <w:r>
        <w:rPr>
          <w:rFonts w:ascii="Times New Roman" w:hAnsi="Times New Roman" w:eastAsia="Times New Roman"/>
          <w:b w:val="0"/>
          <w:i w:val="0"/>
          <w:sz w:val="18"/>
        </w:rPr>
        <w:t>[17] J. Cui, “LLM-augmented DevOps: Autonomous CI/CD pipeline optimization via reinforcement learning,” 2025.</w:t>
      </w:r>
    </w:p>
    <w:p>
      <w:pPr>
        <w:spacing w:after="40"/>
        <w:ind w:left="216" w:hanging="216"/>
        <w:jc w:val="both"/>
      </w:pPr>
      <w:r>
        <w:rPr>
          <w:rFonts w:ascii="Times New Roman" w:hAnsi="Times New Roman" w:eastAsia="Times New Roman"/>
          <w:b w:val="0"/>
          <w:i w:val="0"/>
          <w:sz w:val="18"/>
        </w:rPr>
        <w:t>[18] P. Rajavel, “Intelligent DevOps and artificial intelligence-driven continuous delivery framework for secure enterprise and logistics platforms,” International Journal of Technology, Management and Humanities, 2026.</w:t>
      </w:r>
    </w:p>
    <w:p>
      <w:pPr>
        <w:spacing w:after="40"/>
        <w:ind w:left="216" w:hanging="216"/>
        <w:jc w:val="both"/>
      </w:pPr>
      <w:r>
        <w:rPr>
          <w:rFonts w:ascii="Times New Roman" w:hAnsi="Times New Roman" w:eastAsia="Times New Roman"/>
          <w:b w:val="0"/>
          <w:i w:val="0"/>
          <w:sz w:val="18"/>
        </w:rPr>
        <w:t>[19] A. A. U. Rahman and L. Williams, “Software security in DevOps: Synthesizing practitioners’ perceptions and practices,” in Proceedings of the International Workshop on Continuous Software Evolution and Delivery (CSED), 2016, pp. 70–76.</w:t>
      </w:r>
    </w:p>
    <w:p>
      <w:pPr>
        <w:spacing w:after="40"/>
        <w:ind w:left="216" w:hanging="216"/>
        <w:jc w:val="both"/>
      </w:pPr>
      <w:r>
        <w:rPr>
          <w:rFonts w:ascii="Times New Roman" w:hAnsi="Times New Roman" w:eastAsia="Times New Roman"/>
          <w:b w:val="0"/>
          <w:i w:val="0"/>
          <w:sz w:val="18"/>
        </w:rPr>
        <w:t>[20] C. Pahl, “Containerization and the PaaS cloud,” IEEE Cloud Computing, vol. 2, no. 3, pp. 24–31, May/Jun. 2015.</w:t>
      </w:r>
    </w:p>
    <w:p>
      <w:pPr>
        <w:spacing w:after="40"/>
        <w:ind w:left="216" w:hanging="216"/>
        <w:jc w:val="both"/>
      </w:pPr>
      <w:r>
        <w:rPr>
          <w:rFonts w:ascii="Times New Roman" w:hAnsi="Times New Roman" w:eastAsia="Times New Roman"/>
          <w:b w:val="0"/>
          <w:i w:val="0"/>
          <w:sz w:val="18"/>
        </w:rPr>
        <w:t>[21] M. Souppaya, J. Morello, and K. Scarfone, Application Container Security Guide, NIST Special Publication 800-190. Gaithersburg, MD, USA: National Institute of Standards and Technology, 2017.</w:t>
      </w:r>
    </w:p>
    <w:p>
      <w:pPr>
        <w:spacing w:after="40"/>
        <w:ind w:left="216" w:hanging="216"/>
        <w:jc w:val="both"/>
      </w:pPr>
      <w:r>
        <w:rPr>
          <w:rFonts w:ascii="Times New Roman" w:hAnsi="Times New Roman" w:eastAsia="Times New Roman"/>
          <w:b w:val="0"/>
          <w:i w:val="0"/>
          <w:sz w:val="18"/>
        </w:rPr>
        <w:t>[22] M. Souppaya, K. Scarfone, and D. Dodson, Secure Software Development Framework (SSDF) Version 1.1: Recommendations for Mitigating the Risk of Software Vulnerabilities, NIST Special Publication 800-218. Gaithersburg, MD, USA: National Institute of Standards and Technology, 2022.</w:t>
      </w:r>
    </w:p>
    <w:p>
      <w:pPr>
        <w:spacing w:after="40"/>
        <w:ind w:left="216" w:hanging="216"/>
        <w:jc w:val="both"/>
      </w:pPr>
      <w:r>
        <w:rPr>
          <w:rFonts w:ascii="Times New Roman" w:hAnsi="Times New Roman" w:eastAsia="Times New Roman"/>
          <w:b w:val="0"/>
          <w:i w:val="0"/>
          <w:sz w:val="18"/>
        </w:rPr>
        <w:t>[23] National Telecommunications and Information Administration, The Minimum Elements for a Software Bill of Materials (SBOM). Washington, DC, USA: U.S. Department of Commerce, 2021.</w:t>
      </w:r>
    </w:p>
    <w:p>
      <w:pPr>
        <w:spacing w:after="40"/>
        <w:ind w:left="216" w:hanging="216"/>
        <w:jc w:val="both"/>
      </w:pPr>
      <w:r>
        <w:rPr>
          <w:rFonts w:ascii="Times New Roman" w:hAnsi="Times New Roman" w:eastAsia="Times New Roman"/>
          <w:b w:val="0"/>
          <w:i w:val="0"/>
          <w:sz w:val="18"/>
        </w:rPr>
        <w:t>[24] G. Novakova Nedeltcheva, A. De La Fuente Ruiz, L. Orue-Echevarria Arrieta, N. Bat, and L. Blasi, “Towards supporting the generation of infrastructure as code through modelling approaches: Systematic literature review,” in Proceedings of the IEEE 19th International Conference on Software Architecture Companion (ICSA-C), 2022, pp. 210–217.</w:t>
      </w:r>
    </w:p>
    <w:p>
      <w:pPr>
        <w:spacing w:after="40"/>
        <w:ind w:left="216" w:hanging="216"/>
        <w:jc w:val="both"/>
      </w:pPr>
      <w:r>
        <w:rPr>
          <w:rFonts w:ascii="Times New Roman" w:hAnsi="Times New Roman" w:eastAsia="Times New Roman"/>
          <w:b w:val="0"/>
          <w:i w:val="0"/>
          <w:sz w:val="18"/>
        </w:rPr>
        <w:t>[25] C. Zhou et al., “Delay-aware UAV computation offloading and communication assistance for post-disaster rescue,” IEEE Transactions on Wireless Communications, vol. 23, no. 12, pp. 19110–19125, 2024.</w:t>
      </w:r>
    </w:p>
    <w:sectPr>
      <w:footerReference w:type="default" r:id="rId8"/>
      <w:type w:val="continuous"/>
      <w:pgSz w:w="12240" w:h="15840" w:orient="portrait"/>
      <w:pgMar w:top="1080" w:right="1080" w:bottom="1080" w:left="1080" w:header="708" w:footer="6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spacing w:after="50" w:before="100"/>
      <w:outlineLvl w:val="1"/>
    </w:pPr>
    <w:rPr>
      <w:rFonts w:ascii="Times New Roman" w:cs="Times New Roman" w:eastAsia="Times New Roman" w:hAnsi="Times New Roman"/>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5fd4fd97f32e859074e7ecad211a3c64642c2cf.png"/><Relationship Id="rId10" Type="http://schemas.openxmlformats.org/officeDocument/2006/relationships/image" Target="media/9a8793f9dc2df89054c7a29bdcf7d053f68e2afc.png"/><Relationship Id="rId11" Type="http://schemas.openxmlformats.org/officeDocument/2006/relationships/image" Target="media/1f0fbd4e11ab43538b2bcf4681447c78c021d626.png"/><Relationship Id="rId12" Type="http://schemas.openxmlformats.org/officeDocument/2006/relationships/image" Target="media/78388037d1734aebef4da1dcb78cf9b8c1067a20.png"/><Relationship Id="rId13" Type="http://schemas.openxmlformats.org/officeDocument/2006/relationships/image" Target="media/33ef19b63f11c81a927a7677ca271fee99f7c521.png"/><Relationship Id="rId14" Type="http://schemas.openxmlformats.org/officeDocument/2006/relationships/image" Target="media/bfbd2bd31dba7640524c1079154a797d553f8995.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SentinelOps IEEE Research Paper</dc:title>
  <dc:creator>P N Praveen and Subin VM</dc:creator>
  <dc:description>IEEE-format conference paper</dc:description>
  <cp:lastModifiedBy>Un-named</cp:lastModifiedBy>
  <cp:revision>1</cp:revision>
  <dcterms:created xsi:type="dcterms:W3CDTF">2026-09-30T10:16:34.291Z</dcterms:created>
  <dcterms:modified xsi:type="dcterms:W3CDTF">2026-09-30T10:16:34.291Z</dcterms:modified>
</cp:coreProperties>
</file>

<file path=docProps/custom.xml><?xml version="1.0" encoding="utf-8"?>
<Properties xmlns="http://schemas.openxmlformats.org/officeDocument/2006/custom-properties" xmlns:vt="http://schemas.openxmlformats.org/officeDocument/2006/docPropsVTypes"/>
</file>