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87" w:rsidRPr="00632A60" w:rsidRDefault="00B56F7A">
      <w:pPr>
        <w:rPr>
          <w:rStyle w:val="fontstyle01"/>
          <w:b/>
          <w:sz w:val="28"/>
          <w:szCs w:val="28"/>
        </w:rPr>
      </w:pPr>
      <w:r w:rsidRPr="00632A60">
        <w:rPr>
          <w:rStyle w:val="fontstyle01"/>
          <w:b/>
          <w:sz w:val="28"/>
          <w:szCs w:val="28"/>
        </w:rPr>
        <w:t>Real-world applications and selected case studies</w:t>
      </w:r>
    </w:p>
    <w:p w:rsidR="00B56F7A" w:rsidRPr="00632A60" w:rsidRDefault="00B56F7A">
      <w:pPr>
        <w:rPr>
          <w:rFonts w:ascii="AdvGulliv-I" w:hAnsi="AdvGulliv-I"/>
          <w:color w:val="000000"/>
          <w:sz w:val="28"/>
          <w:szCs w:val="28"/>
        </w:rPr>
      </w:pPr>
      <w:r w:rsidRPr="00632A60">
        <w:rPr>
          <w:rFonts w:ascii="AdvGulliv-I" w:hAnsi="AdvGulliv-I"/>
          <w:color w:val="000000"/>
          <w:sz w:val="28"/>
          <w:szCs w:val="28"/>
        </w:rPr>
        <w:t>Public transit buses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  <w:r w:rsidRPr="00632A60">
        <w:rPr>
          <w:rFonts w:ascii="AdvGulliv-R" w:hAnsi="AdvGulliv-R"/>
          <w:color w:val="000000"/>
          <w:sz w:val="28"/>
          <w:szCs w:val="28"/>
        </w:rPr>
        <w:t>Chattanooga Area Regional Transportation</w:t>
      </w:r>
      <w:r w:rsidRPr="00632A60">
        <w:rPr>
          <w:rFonts w:ascii="AdvGulliv-R" w:hAnsi="AdvGulliv-R"/>
          <w:color w:val="000000"/>
          <w:sz w:val="28"/>
          <w:szCs w:val="28"/>
        </w:rPr>
        <w:br/>
        <w:t>Authority (CARTA) project, a short ‘‘opportunity charge” of 1 min</w:t>
      </w:r>
      <w:r w:rsidRPr="00632A60">
        <w:rPr>
          <w:rFonts w:ascii="AdvGulliv-R" w:hAnsi="AdvGulliv-R"/>
          <w:color w:val="000000"/>
          <w:sz w:val="28"/>
          <w:szCs w:val="28"/>
        </w:rPr>
        <w:br/>
        <w:t>at 60 kW can extend the range by approximately 1 mile</w:t>
      </w:r>
      <w:r w:rsidRPr="00632A60">
        <w:rPr>
          <w:rFonts w:ascii="AdvGulliv-R" w:hAnsi="AdvGulliv-R"/>
          <w:color w:val="000000"/>
          <w:sz w:val="28"/>
          <w:szCs w:val="28"/>
        </w:rPr>
        <w:br/>
        <w:t>(</w:t>
      </w:r>
      <w:r w:rsidRPr="00632A60">
        <w:rPr>
          <w:rFonts w:ascii="AdvP4C4E74" w:hAnsi="AdvP4C4E74"/>
          <w:color w:val="000000"/>
          <w:sz w:val="28"/>
          <w:szCs w:val="28"/>
        </w:rPr>
        <w:t xml:space="preserve"> </w:t>
      </w:r>
      <w:r w:rsidRPr="00632A60">
        <w:rPr>
          <w:rFonts w:ascii="AdvGulliv-R" w:hAnsi="AdvGulliv-R"/>
          <w:color w:val="000000"/>
          <w:sz w:val="28"/>
          <w:szCs w:val="28"/>
        </w:rPr>
        <w:t>1.61 km) so that multiple charges in a day would release the</w:t>
      </w:r>
      <w:r w:rsidRPr="00632A60">
        <w:rPr>
          <w:rFonts w:ascii="AdvGulliv-R" w:hAnsi="AdvGulliv-R"/>
          <w:color w:val="000000"/>
          <w:sz w:val="28"/>
          <w:szCs w:val="28"/>
        </w:rPr>
        <w:br/>
        <w:t>range constraint to cover the required daily route of 100 miles</w:t>
      </w:r>
      <w:r w:rsidRPr="00632A60">
        <w:rPr>
          <w:rFonts w:ascii="AdvGulliv-R" w:hAnsi="AdvGulliv-R"/>
          <w:color w:val="000000"/>
          <w:sz w:val="28"/>
          <w:szCs w:val="28"/>
        </w:rPr>
        <w:br/>
        <w:t>(</w:t>
      </w:r>
      <w:r w:rsidRPr="00632A60">
        <w:rPr>
          <w:rFonts w:ascii="AdvP4C4E74" w:hAnsi="AdvP4C4E74"/>
          <w:color w:val="000000"/>
          <w:sz w:val="28"/>
          <w:szCs w:val="28"/>
        </w:rPr>
        <w:t xml:space="preserve"> </w:t>
      </w:r>
      <w:r w:rsidRPr="00632A60">
        <w:rPr>
          <w:rFonts w:ascii="AdvGulliv-R" w:hAnsi="AdvGulliv-R"/>
          <w:color w:val="000000"/>
          <w:sz w:val="28"/>
          <w:szCs w:val="28"/>
        </w:rPr>
        <w:t>161 km), which otherwise requires battery swapping during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the day </w:t>
      </w:r>
      <w:r w:rsidRPr="00632A60">
        <w:rPr>
          <w:rFonts w:ascii="AdvGulliv-R" w:hAnsi="AdvGulliv-R"/>
          <w:color w:val="0080AD"/>
          <w:sz w:val="28"/>
          <w:szCs w:val="28"/>
        </w:rPr>
        <w:t>[60]</w:t>
      </w:r>
      <w:r w:rsidRPr="00632A60">
        <w:rPr>
          <w:rFonts w:ascii="AdvGulliv-R" w:hAnsi="AdvGulliv-R"/>
          <w:color w:val="000000"/>
          <w:sz w:val="28"/>
          <w:szCs w:val="28"/>
        </w:rPr>
        <w:t>.</w:t>
      </w:r>
      <w:r w:rsidRPr="00632A60">
        <w:rPr>
          <w:rFonts w:ascii="AdvGulliv-R" w:hAnsi="AdvGulliv-R"/>
          <w:color w:val="000000"/>
          <w:sz w:val="28"/>
          <w:szCs w:val="28"/>
        </w:rPr>
        <w:br/>
        <w:t>Another obstacle for the expansion of traditional pure electric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transit buses lies in the battery size, cost, and life. For a </w:t>
      </w:r>
      <w:proofErr w:type="spellStart"/>
      <w:r w:rsidRPr="00632A60">
        <w:rPr>
          <w:rFonts w:ascii="AdvGulliv-R" w:hAnsi="AdvGulliv-R"/>
          <w:color w:val="000000"/>
          <w:sz w:val="28"/>
          <w:szCs w:val="28"/>
        </w:rPr>
        <w:t>longrange</w:t>
      </w:r>
      <w:proofErr w:type="spellEnd"/>
      <w:r w:rsidRPr="00632A60">
        <w:rPr>
          <w:rFonts w:ascii="AdvGulliv-R" w:hAnsi="AdvGulliv-R"/>
          <w:color w:val="000000"/>
          <w:sz w:val="28"/>
          <w:szCs w:val="28"/>
        </w:rPr>
        <w:t xml:space="preserve"> all-electric bus, the battery pack can comprise about 26%</w:t>
      </w:r>
      <w:r w:rsidRPr="00632A60">
        <w:rPr>
          <w:rFonts w:ascii="AdvGulliv-R" w:hAnsi="AdvGulliv-R"/>
          <w:color w:val="000000"/>
          <w:sz w:val="28"/>
          <w:szCs w:val="28"/>
        </w:rPr>
        <w:br/>
        <w:t>of the weight and 39% of the total cost of the bus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  <w:r w:rsidRPr="00632A60">
        <w:rPr>
          <w:rFonts w:ascii="AdvGulliv-R" w:hAnsi="AdvGulliv-R"/>
          <w:color w:val="000000"/>
          <w:sz w:val="28"/>
          <w:szCs w:val="28"/>
        </w:rPr>
        <w:t>Among</w:t>
      </w:r>
      <w:r w:rsidRPr="00632A60">
        <w:rPr>
          <w:rFonts w:ascii="AdvGulliv-R" w:hAnsi="AdvGulliv-R"/>
          <w:color w:val="000000"/>
          <w:sz w:val="28"/>
          <w:szCs w:val="28"/>
        </w:rPr>
        <w:br/>
        <w:t>the various bus projects, the KAIST On-Line Electric Vehicle (OLEV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>)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br/>
        <w:t>project in Korea has advanced technologies that allow buses to</w:t>
      </w:r>
      <w:r w:rsidRPr="00632A60">
        <w:rPr>
          <w:rFonts w:ascii="AdvGulliv-R" w:hAnsi="AdvGulliv-R"/>
          <w:color w:val="000000"/>
          <w:sz w:val="28"/>
          <w:szCs w:val="28"/>
        </w:rPr>
        <w:br/>
        <w:t>charge either while stationary or in motion to significantly downsize the battery. Beginning in 2009, the OLEV research group developed and applied the Shaped Magnetic Field in Resonance (SMFIR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>)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technology in buses and a tram to demonstrate the dynamic wireless charging of EVs as a commercially viable approach </w:t>
      </w:r>
      <w:r w:rsidRPr="00632A60">
        <w:rPr>
          <w:rFonts w:ascii="AdvGulliv-R" w:hAnsi="AdvGulliv-R"/>
          <w:color w:val="0080AD"/>
          <w:sz w:val="28"/>
          <w:szCs w:val="28"/>
        </w:rPr>
        <w:t>[57]</w:t>
      </w:r>
      <w:r w:rsidRPr="00632A60">
        <w:rPr>
          <w:rFonts w:ascii="AdvGulliv-R" w:hAnsi="AdvGulliv-R"/>
          <w:color w:val="000000"/>
          <w:sz w:val="28"/>
          <w:szCs w:val="28"/>
        </w:rPr>
        <w:t>. The</w:t>
      </w:r>
      <w:r w:rsidRPr="00632A60">
        <w:rPr>
          <w:rFonts w:ascii="AdvGulliv-R" w:hAnsi="AdvGulliv-R"/>
          <w:color w:val="000000"/>
          <w:sz w:val="28"/>
          <w:szCs w:val="28"/>
        </w:rPr>
        <w:br/>
        <w:t>battery installed on a Gumi City bus is less than one-fifth the size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of a normal conductively charged electric bus battery, which significantly reduces the procurement cost of OLEVs </w:t>
      </w:r>
      <w:r w:rsidRPr="00632A60">
        <w:rPr>
          <w:rFonts w:ascii="AdvGulliv-R" w:hAnsi="AdvGulliv-R"/>
          <w:color w:val="0080AD"/>
          <w:sz w:val="28"/>
          <w:szCs w:val="28"/>
        </w:rPr>
        <w:t>[11]</w:t>
      </w:r>
      <w:r w:rsidRPr="00632A60">
        <w:rPr>
          <w:rFonts w:ascii="AdvGulliv-R" w:hAnsi="AdvGulliv-R"/>
          <w:color w:val="000000"/>
          <w:sz w:val="28"/>
          <w:szCs w:val="28"/>
        </w:rPr>
        <w:t>. As a result of</w:t>
      </w:r>
      <w:r w:rsidRPr="00632A60">
        <w:rPr>
          <w:rFonts w:ascii="AdvGulliv-R" w:hAnsi="AdvGulliv-R"/>
          <w:color w:val="000000"/>
          <w:sz w:val="28"/>
          <w:szCs w:val="28"/>
        </w:rPr>
        <w:br/>
        <w:t>dynamic wireless charging, the state of charge (SOC) of an OLEV</w:t>
      </w:r>
      <w:r w:rsidRPr="00632A60">
        <w:rPr>
          <w:rFonts w:ascii="AdvGulliv-R" w:hAnsi="AdvGulliv-R"/>
          <w:color w:val="000000"/>
          <w:sz w:val="28"/>
          <w:szCs w:val="28"/>
        </w:rPr>
        <w:br/>
        <w:t>battery can be kept in a narrow 40–60% SOC band that may help</w:t>
      </w:r>
      <w:r w:rsidRPr="00632A60">
        <w:rPr>
          <w:rFonts w:ascii="AdvGulliv-R" w:hAnsi="AdvGulliv-R"/>
          <w:color w:val="000000"/>
          <w:sz w:val="28"/>
          <w:szCs w:val="28"/>
        </w:rPr>
        <w:br/>
        <w:t>extend the battery life, instead of the large 20–90% SOC swing of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a normal conductively charged electric bus </w:t>
      </w:r>
      <w:r w:rsidRPr="00632A60">
        <w:rPr>
          <w:rFonts w:ascii="AdvGulliv-R" w:hAnsi="AdvGulliv-R"/>
          <w:color w:val="0080AD"/>
          <w:sz w:val="28"/>
          <w:szCs w:val="28"/>
        </w:rPr>
        <w:t>[66]</w:t>
      </w:r>
      <w:r w:rsidRPr="00632A60">
        <w:rPr>
          <w:rFonts w:ascii="AdvGulliv-R" w:hAnsi="AdvGulliv-R"/>
          <w:color w:val="000000"/>
          <w:sz w:val="28"/>
          <w:szCs w:val="28"/>
        </w:rPr>
        <w:t>.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I" w:hAnsi="AdvGulliv-I"/>
          <w:color w:val="000000"/>
          <w:sz w:val="28"/>
          <w:szCs w:val="28"/>
        </w:rPr>
      </w:pPr>
      <w:r w:rsidRPr="00632A60">
        <w:rPr>
          <w:rFonts w:ascii="AdvGulliv-I" w:hAnsi="AdvGulliv-I"/>
          <w:color w:val="000000"/>
          <w:sz w:val="28"/>
          <w:szCs w:val="28"/>
        </w:rPr>
        <w:t>Passenger cars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  <w:r w:rsidRPr="00632A60">
        <w:rPr>
          <w:rFonts w:ascii="AdvGulliv-R" w:hAnsi="AdvGulliv-R"/>
          <w:color w:val="000000"/>
          <w:sz w:val="28"/>
          <w:szCs w:val="28"/>
        </w:rPr>
        <w:t>As early as 2012, the U.S. Department of Transportation recognized the emergence of WPT for EV applications and identified</w:t>
      </w:r>
      <w:r w:rsidRPr="00632A60">
        <w:rPr>
          <w:rFonts w:ascii="AdvGulliv-R" w:hAnsi="AdvGulliv-R"/>
          <w:color w:val="000000"/>
          <w:sz w:val="28"/>
          <w:szCs w:val="28"/>
        </w:rPr>
        <w:br/>
        <w:t>the need to understand the implications of dynamic wireless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charging of EVs on U.S. highways </w:t>
      </w:r>
      <w:r w:rsidRPr="00632A60">
        <w:rPr>
          <w:rFonts w:ascii="AdvGulliv-R" w:hAnsi="AdvGulliv-R"/>
          <w:color w:val="0080AD"/>
          <w:sz w:val="28"/>
          <w:szCs w:val="28"/>
        </w:rPr>
        <w:t>[13]</w:t>
      </w:r>
      <w:r w:rsidRPr="00632A60">
        <w:rPr>
          <w:rFonts w:ascii="AdvGulliv-R" w:hAnsi="AdvGulliv-R"/>
          <w:color w:val="000000"/>
          <w:sz w:val="28"/>
          <w:szCs w:val="28"/>
        </w:rPr>
        <w:t xml:space="preserve">. In 2015, Utah State University built an </w:t>
      </w:r>
      <w:r w:rsidRPr="00632A60">
        <w:rPr>
          <w:rFonts w:ascii="AdvGulliv-R" w:hAnsi="AdvGulliv-R"/>
          <w:color w:val="000000"/>
          <w:sz w:val="28"/>
          <w:szCs w:val="28"/>
        </w:rPr>
        <w:lastRenderedPageBreak/>
        <w:t xml:space="preserve">advanced test facility for dynamic wireless 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>charging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br/>
      </w:r>
      <w:r w:rsidRPr="00632A60">
        <w:rPr>
          <w:rFonts w:ascii="AdvGulliv-R" w:hAnsi="AdvGulliv-R"/>
          <w:color w:val="0080AD"/>
          <w:sz w:val="28"/>
          <w:szCs w:val="28"/>
        </w:rPr>
        <w:t>[67]</w:t>
      </w:r>
      <w:r w:rsidRPr="00632A60">
        <w:rPr>
          <w:rFonts w:ascii="AdvGulliv-R" w:hAnsi="AdvGulliv-R"/>
          <w:color w:val="000000"/>
          <w:sz w:val="28"/>
          <w:szCs w:val="28"/>
        </w:rPr>
        <w:t>. Dynamic WPT may enable unlimited range extension for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EVs </w:t>
      </w:r>
      <w:r w:rsidRPr="00632A60">
        <w:rPr>
          <w:rFonts w:ascii="AdvGulliv-R" w:hAnsi="AdvGulliv-R"/>
          <w:color w:val="0080AD"/>
          <w:sz w:val="28"/>
          <w:szCs w:val="28"/>
        </w:rPr>
        <w:t>[13]</w:t>
      </w:r>
      <w:r w:rsidRPr="00632A60">
        <w:rPr>
          <w:rFonts w:ascii="AdvGulliv-R" w:hAnsi="AdvGulliv-R"/>
          <w:color w:val="000000"/>
          <w:sz w:val="28"/>
          <w:szCs w:val="28"/>
        </w:rPr>
        <w:t>. EVs can run continuously without stopping in areas with</w:t>
      </w:r>
      <w:r w:rsidRPr="00632A60">
        <w:rPr>
          <w:rFonts w:ascii="AdvGulliv-R" w:hAnsi="AdvGulliv-R"/>
          <w:color w:val="000000"/>
          <w:sz w:val="28"/>
          <w:szCs w:val="28"/>
        </w:rPr>
        <w:br/>
        <w:t>available dynamic WPT infrastructure. Also, the battery capacity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could be reduced to below 20% of a conventional EV battery </w:t>
      </w:r>
      <w:r w:rsidRPr="00632A60">
        <w:rPr>
          <w:rFonts w:ascii="AdvGulliv-R" w:hAnsi="AdvGulliv-R"/>
          <w:color w:val="0080AD"/>
          <w:sz w:val="28"/>
          <w:szCs w:val="28"/>
        </w:rPr>
        <w:t>[68]</w:t>
      </w:r>
      <w:r w:rsidRPr="00632A60">
        <w:rPr>
          <w:rFonts w:ascii="AdvGulliv-R" w:hAnsi="AdvGulliv-R"/>
          <w:color w:val="000000"/>
          <w:sz w:val="28"/>
          <w:szCs w:val="28"/>
        </w:rPr>
        <w:t>.</w:t>
      </w:r>
      <w:r w:rsidRPr="00632A60">
        <w:rPr>
          <w:rFonts w:ascii="AdvGulliv-R" w:hAnsi="AdvGulliv-R"/>
          <w:color w:val="000000"/>
          <w:sz w:val="28"/>
          <w:szCs w:val="28"/>
        </w:rPr>
        <w:br/>
        <w:t>Several feasibility studies were conducted to test the idea of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deploying a dedicated WPT lane on major roadways for </w:t>
      </w:r>
      <w:proofErr w:type="spellStart"/>
      <w:r w:rsidRPr="00632A60">
        <w:rPr>
          <w:rFonts w:ascii="AdvGulliv-R" w:hAnsi="AdvGulliv-R"/>
          <w:color w:val="000000"/>
          <w:sz w:val="28"/>
          <w:szCs w:val="28"/>
        </w:rPr>
        <w:t>inmotion</w:t>
      </w:r>
      <w:proofErr w:type="spellEnd"/>
      <w:r w:rsidRPr="00632A60">
        <w:rPr>
          <w:rFonts w:ascii="AdvGulliv-R" w:hAnsi="AdvGulliv-R"/>
          <w:color w:val="000000"/>
          <w:sz w:val="28"/>
          <w:szCs w:val="28"/>
        </w:rPr>
        <w:t xml:space="preserve"> charging. ORNL partnered with three other U.S. Department of Energy laboratories and conducted a feasibility analysis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of dynamic wireless charging using traffic data from Atlanta, 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>GA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br/>
      </w:r>
      <w:r w:rsidRPr="00632A60">
        <w:rPr>
          <w:rFonts w:ascii="AdvGulliv-R" w:hAnsi="AdvGulliv-R"/>
          <w:color w:val="0080AD"/>
          <w:sz w:val="28"/>
          <w:szCs w:val="28"/>
        </w:rPr>
        <w:t>[69]</w:t>
      </w:r>
      <w:r w:rsidRPr="00632A60">
        <w:rPr>
          <w:rFonts w:ascii="AdvGulliv-R" w:hAnsi="AdvGulliv-R"/>
          <w:color w:val="000000"/>
          <w:sz w:val="28"/>
          <w:szCs w:val="28"/>
        </w:rPr>
        <w:t>. The power requirement versus the vehicle speed profile was</w:t>
      </w:r>
      <w:r w:rsidRPr="00632A60">
        <w:rPr>
          <w:rFonts w:ascii="AdvGulliv-R" w:hAnsi="AdvGulliv-R"/>
          <w:color w:val="000000"/>
          <w:sz w:val="28"/>
          <w:szCs w:val="28"/>
        </w:rPr>
        <w:br/>
        <w:t>characterized using data from Argonne National Laboratory’s chassis dynamometer testing facility and field tests of advanced vehicles at Idaho National Laboratory. A vehicle speed of 40 miles per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hour 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>(</w:t>
      </w:r>
      <w:r w:rsidRPr="00632A60">
        <w:rPr>
          <w:rFonts w:ascii="AdvP4C4E74" w:hAnsi="AdvP4C4E74"/>
          <w:color w:val="000000"/>
          <w:sz w:val="28"/>
          <w:szCs w:val="28"/>
        </w:rPr>
        <w:t xml:space="preserve"> </w:t>
      </w:r>
      <w:r w:rsidRPr="00632A60">
        <w:rPr>
          <w:rFonts w:ascii="AdvGulliv-R" w:hAnsi="AdvGulliv-R"/>
          <w:color w:val="000000"/>
          <w:sz w:val="28"/>
          <w:szCs w:val="28"/>
        </w:rPr>
        <w:t>64.37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t xml:space="preserve"> km/h) was selected to meet the minimal speed</w:t>
      </w:r>
      <w:r w:rsidRPr="00632A60">
        <w:rPr>
          <w:rFonts w:ascii="AdvGulliv-R" w:hAnsi="AdvGulliv-R"/>
          <w:color w:val="000000"/>
          <w:sz w:val="28"/>
          <w:szCs w:val="28"/>
        </w:rPr>
        <w:br/>
        <w:t>requirements for operational status of typical commuter roadways,</w:t>
      </w:r>
      <w:r w:rsidRPr="00632A60">
        <w:rPr>
          <w:rFonts w:ascii="AdvGulliv-R" w:hAnsi="AdvGulliv-R"/>
          <w:color w:val="000000"/>
          <w:sz w:val="28"/>
          <w:szCs w:val="28"/>
        </w:rPr>
        <w:br/>
        <w:t>which corresponds to a power transfer level of 25 kW. This power</w:t>
      </w:r>
      <w:r w:rsidRPr="00632A60">
        <w:rPr>
          <w:rFonts w:ascii="AdvGulliv-R" w:hAnsi="AdvGulliv-R"/>
          <w:color w:val="000000"/>
          <w:sz w:val="28"/>
          <w:szCs w:val="28"/>
        </w:rPr>
        <w:br/>
        <w:t>level is required to sustain vehicle travel and maintain the SOC. A</w:t>
      </w:r>
      <w:r w:rsidRPr="00632A60">
        <w:rPr>
          <w:rFonts w:ascii="AdvGulliv-R" w:hAnsi="AdvGulliv-R"/>
          <w:color w:val="000000"/>
          <w:sz w:val="28"/>
          <w:szCs w:val="28"/>
        </w:rPr>
        <w:br/>
        <w:t>higher power transfer level and relatively higher power from the</w:t>
      </w:r>
      <w:r w:rsidRPr="00632A60">
        <w:rPr>
          <w:rFonts w:ascii="AdvGulliv-R" w:hAnsi="AdvGulliv-R"/>
          <w:color w:val="000000"/>
          <w:sz w:val="28"/>
          <w:szCs w:val="28"/>
        </w:rPr>
        <w:br/>
        <w:t>vehicle propulsion system is required for greater speeds. The arterial routes that maximize roadway electrification return on investment were identified by using information from the National</w:t>
      </w:r>
      <w:r w:rsidRPr="00632A60">
        <w:rPr>
          <w:rFonts w:ascii="AdvGulliv-R" w:hAnsi="AdvGulliv-R"/>
          <w:color w:val="000000"/>
          <w:sz w:val="28"/>
          <w:szCs w:val="28"/>
        </w:rPr>
        <w:br/>
        <w:t>Renewables Energy Laboratory, including the most frequently traveled roadways based on vehicle miles traveled (VMT) and representative traffic volumes versus time of day. The 1% of arterial</w:t>
      </w:r>
      <w:r w:rsidRPr="00632A60">
        <w:rPr>
          <w:rFonts w:ascii="AdvGulliv-R" w:hAnsi="AdvGulliv-R"/>
          <w:color w:val="000000"/>
          <w:sz w:val="28"/>
          <w:szCs w:val="28"/>
        </w:rPr>
        <w:br/>
        <w:t>roads in Atlanta where 17% of VMT took place were selected as</w:t>
      </w:r>
      <w:r w:rsidRPr="00632A60">
        <w:rPr>
          <w:rFonts w:ascii="AdvGulliv-R" w:hAnsi="AdvGulliv-R"/>
          <w:color w:val="000000"/>
          <w:sz w:val="28"/>
          <w:szCs w:val="28"/>
        </w:rPr>
        <w:br/>
        <w:t>the most desirable road segments for charging. The infrastructure</w:t>
      </w:r>
      <w:r w:rsidRPr="00632A60">
        <w:rPr>
          <w:rFonts w:ascii="AdvGulliv-R" w:hAnsi="AdvGulliv-R"/>
          <w:color w:val="000000"/>
          <w:sz w:val="28"/>
          <w:szCs w:val="28"/>
        </w:rPr>
        <w:br/>
        <w:t>proposed to support this system included 12 transformers and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inverters per mile (1 </w:t>
      </w:r>
      <w:proofErr w:type="gramStart"/>
      <w:r w:rsidRPr="00632A60">
        <w:rPr>
          <w:rFonts w:ascii="AdvGulliv-R" w:hAnsi="AdvGulliv-R"/>
          <w:color w:val="000000"/>
          <w:sz w:val="28"/>
          <w:szCs w:val="28"/>
        </w:rPr>
        <w:t xml:space="preserve">mile </w:t>
      </w:r>
      <w:r w:rsidRPr="00632A60">
        <w:rPr>
          <w:rFonts w:ascii="AdvP4C4E74" w:hAnsi="AdvP4C4E74"/>
          <w:color w:val="000000"/>
          <w:sz w:val="28"/>
          <w:szCs w:val="28"/>
        </w:rPr>
        <w:t xml:space="preserve"> </w:t>
      </w:r>
      <w:r w:rsidRPr="00632A60">
        <w:rPr>
          <w:rFonts w:ascii="AdvGulliv-R" w:hAnsi="AdvGulliv-R"/>
          <w:color w:val="000000"/>
          <w:sz w:val="28"/>
          <w:szCs w:val="28"/>
        </w:rPr>
        <w:t>1.61</w:t>
      </w:r>
      <w:proofErr w:type="gramEnd"/>
      <w:r w:rsidRPr="00632A60">
        <w:rPr>
          <w:rFonts w:ascii="AdvGulliv-R" w:hAnsi="AdvGulliv-R"/>
          <w:color w:val="000000"/>
          <w:sz w:val="28"/>
          <w:szCs w:val="28"/>
        </w:rPr>
        <w:t xml:space="preserve"> km) with a 100-m maximum distance between inverter and coil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  <w:r w:rsidRPr="00632A60">
        <w:rPr>
          <w:rFonts w:ascii="AdvGulliv-R" w:hAnsi="AdvGulliv-R"/>
          <w:color w:val="000000"/>
          <w:sz w:val="28"/>
          <w:szCs w:val="28"/>
        </w:rPr>
        <w:t>In Europe, another feasibility study being conducted</w:t>
      </w:r>
      <w:r w:rsidRPr="00632A60">
        <w:rPr>
          <w:rFonts w:ascii="AdvGulliv-R" w:hAnsi="AdvGulliv-R"/>
          <w:color w:val="000000"/>
          <w:sz w:val="28"/>
          <w:szCs w:val="28"/>
        </w:rPr>
        <w:br/>
        <w:t>with test sites in France, Italy, and Sweden is the feasibility analysis and development of on-road charging solutions for future electric vehicles (also called FABRIC). The project duration is from</w:t>
      </w:r>
      <w:r w:rsidRPr="00632A60">
        <w:rPr>
          <w:rFonts w:ascii="AdvGulliv-R" w:hAnsi="AdvGulliv-R"/>
          <w:color w:val="000000"/>
          <w:sz w:val="28"/>
          <w:szCs w:val="28"/>
        </w:rPr>
        <w:br/>
        <w:t>January 2014 to December 2017 with a total cost of 9 million Euros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and it seeks to pave the way for large scale deployment of </w:t>
      </w:r>
      <w:proofErr w:type="spellStart"/>
      <w:r w:rsidRPr="00632A60">
        <w:rPr>
          <w:rFonts w:ascii="AdvGulliv-R" w:hAnsi="AdvGulliv-R"/>
          <w:color w:val="000000"/>
          <w:sz w:val="28"/>
          <w:szCs w:val="28"/>
        </w:rPr>
        <w:t>electromobility</w:t>
      </w:r>
      <w:proofErr w:type="spellEnd"/>
      <w:r w:rsidRPr="00632A60">
        <w:rPr>
          <w:rFonts w:ascii="AdvGulliv-R" w:hAnsi="AdvGulliv-R"/>
          <w:color w:val="000000"/>
          <w:sz w:val="28"/>
          <w:szCs w:val="28"/>
        </w:rPr>
        <w:t>. It is supported and co-funded by the European Union in</w:t>
      </w:r>
      <w:r w:rsidRPr="00632A60">
        <w:rPr>
          <w:rFonts w:ascii="AdvGulliv-R" w:hAnsi="AdvGulliv-R"/>
          <w:color w:val="000000"/>
          <w:sz w:val="28"/>
          <w:szCs w:val="28"/>
        </w:rPr>
        <w:br/>
        <w:t xml:space="preserve">the Seventh Framework </w:t>
      </w:r>
      <w:proofErr w:type="spellStart"/>
      <w:r w:rsidRPr="00632A60">
        <w:rPr>
          <w:rFonts w:ascii="AdvGulliv-R" w:hAnsi="AdvGulliv-R"/>
          <w:color w:val="000000"/>
          <w:sz w:val="28"/>
          <w:szCs w:val="28"/>
        </w:rPr>
        <w:t>Programme</w:t>
      </w:r>
      <w:proofErr w:type="spellEnd"/>
      <w:r w:rsidRPr="00632A60">
        <w:rPr>
          <w:rFonts w:ascii="AdvGulliv-R" w:hAnsi="AdvGulliv-R"/>
          <w:color w:val="000000"/>
          <w:sz w:val="28"/>
          <w:szCs w:val="28"/>
        </w:rPr>
        <w:t xml:space="preserve"> for Research, Technological</w:t>
      </w:r>
      <w:r w:rsidRPr="00632A60">
        <w:rPr>
          <w:rFonts w:ascii="AdvGulliv-R" w:hAnsi="AdvGulliv-R"/>
          <w:color w:val="000000"/>
          <w:sz w:val="28"/>
          <w:szCs w:val="28"/>
        </w:rPr>
        <w:br/>
        <w:t>Development and Demonstration, European Council for Automotive R&amp;D (EUCAR) and ERTICO-ITS Europe</w:t>
      </w: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CharisSIL-Bold" w:hAnsi="CharisSIL-Bold"/>
          <w:b/>
          <w:bCs/>
          <w:color w:val="000000"/>
          <w:sz w:val="28"/>
          <w:szCs w:val="28"/>
        </w:rPr>
      </w:pPr>
      <w:r w:rsidRPr="00632A60">
        <w:rPr>
          <w:rFonts w:ascii="CharisSIL-Bold" w:hAnsi="CharisSIL-Bold"/>
          <w:b/>
          <w:bCs/>
          <w:color w:val="000000"/>
          <w:sz w:val="28"/>
          <w:szCs w:val="28"/>
        </w:rPr>
        <w:t>Research on WPT for EV</w:t>
      </w:r>
    </w:p>
    <w:p w:rsidR="00B56F7A" w:rsidRPr="00632A60" w:rsidRDefault="00B56F7A">
      <w:pPr>
        <w:rPr>
          <w:rFonts w:ascii="CharisSIL-Italic" w:hAnsi="CharisSIL-Italic"/>
          <w:i/>
          <w:iCs/>
          <w:color w:val="000000"/>
          <w:sz w:val="28"/>
          <w:szCs w:val="28"/>
        </w:rPr>
      </w:pPr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3.1. Korean Institute of Advanced Technology (KAIST)</w:t>
      </w:r>
    </w:p>
    <w:p w:rsidR="00B56F7A" w:rsidRPr="00632A60" w:rsidRDefault="00B56F7A">
      <w:pPr>
        <w:rPr>
          <w:rFonts w:ascii="CharisSIL-Italic" w:hAnsi="CharisSIL-Italic"/>
          <w:i/>
          <w:iCs/>
          <w:color w:val="000000"/>
          <w:sz w:val="28"/>
          <w:szCs w:val="28"/>
        </w:rPr>
      </w:pPr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3.2. Oak Ridge National Laboratory (ORNL)</w:t>
      </w:r>
    </w:p>
    <w:p w:rsidR="00B56F7A" w:rsidRPr="00632A60" w:rsidRDefault="00B56F7A">
      <w:pPr>
        <w:rPr>
          <w:rFonts w:ascii="CharisSIL-Italic" w:hAnsi="CharisSIL-Italic"/>
          <w:i/>
          <w:iCs/>
          <w:color w:val="000000"/>
          <w:sz w:val="28"/>
          <w:szCs w:val="28"/>
        </w:rPr>
      </w:pPr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3.3. University of Auckland (</w:t>
      </w:r>
      <w:proofErr w:type="spellStart"/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UoA</w:t>
      </w:r>
      <w:proofErr w:type="spellEnd"/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)</w:t>
      </w:r>
    </w:p>
    <w:p w:rsidR="00B56F7A" w:rsidRPr="00632A60" w:rsidRDefault="00B56F7A">
      <w:pPr>
        <w:rPr>
          <w:rFonts w:ascii="CharisSIL-Italic" w:hAnsi="CharisSIL-Italic"/>
          <w:i/>
          <w:iCs/>
          <w:color w:val="000000"/>
          <w:sz w:val="28"/>
          <w:szCs w:val="28"/>
        </w:rPr>
      </w:pPr>
      <w:r w:rsidRPr="00632A60">
        <w:rPr>
          <w:rFonts w:ascii="CharisSIL-Italic" w:hAnsi="CharisSIL-Italic"/>
          <w:i/>
          <w:iCs/>
          <w:color w:val="000000"/>
          <w:sz w:val="28"/>
          <w:szCs w:val="28"/>
        </w:rPr>
        <w:t>Commercial and non-commercial WPT projects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r w:rsidRPr="00632A60">
        <w:rPr>
          <w:rFonts w:ascii="CharisSIL" w:hAnsi="CharisSIL"/>
          <w:color w:val="000000"/>
          <w:sz w:val="28"/>
          <w:szCs w:val="28"/>
        </w:rPr>
        <w:t>One early adopter was PATH (Partners for Advanced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Transit and Highways). It is a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programme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founded in 1986 and led by</w:t>
      </w:r>
      <w:r w:rsidRPr="00632A60">
        <w:rPr>
          <w:rFonts w:ascii="CharisSIL" w:hAnsi="CharisSIL"/>
          <w:color w:val="000000"/>
          <w:sz w:val="28"/>
          <w:szCs w:val="28"/>
        </w:rPr>
        <w:br/>
        <w:t>the University of California, Berkeley. One research project run by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PATH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focussed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on dynamic charging for EVs. In 1994, it developed the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first prototype of such system </w:t>
      </w:r>
      <w:r w:rsidRPr="00632A60">
        <w:rPr>
          <w:rFonts w:ascii="CharisSIL" w:hAnsi="CharisSIL"/>
          <w:color w:val="0F80AC"/>
          <w:sz w:val="28"/>
          <w:szCs w:val="28"/>
        </w:rPr>
        <w:t>[206]</w:t>
      </w:r>
      <w:r w:rsidRPr="00632A60">
        <w:rPr>
          <w:rFonts w:ascii="CharisSIL" w:hAnsi="CharisSIL"/>
          <w:color w:val="000000"/>
          <w:sz w:val="28"/>
          <w:szCs w:val="28"/>
        </w:rPr>
        <w:t>. It transferred 60 kW over a two</w:t>
      </w:r>
      <w:r w:rsidRPr="00632A60">
        <w:rPr>
          <w:rFonts w:ascii="CharisSIL" w:hAnsi="CharisSIL"/>
          <w:color w:val="000000"/>
          <w:sz w:val="28"/>
          <w:szCs w:val="28"/>
        </w:rPr>
        <w:br/>
        <w:t>inch air gap and achieved 60% transfer efficiency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r w:rsidRPr="00632A60">
        <w:rPr>
          <w:rFonts w:ascii="CharisSIL" w:hAnsi="CharisSIL"/>
          <w:color w:val="000000"/>
          <w:sz w:val="28"/>
          <w:szCs w:val="28"/>
        </w:rPr>
        <w:t>Two recent European projects were FABRIC and UNPLUGGED.</w:t>
      </w:r>
      <w:r w:rsidRPr="00632A60">
        <w:rPr>
          <w:rFonts w:ascii="CharisSIL" w:hAnsi="CharisSIL"/>
          <w:color w:val="000000"/>
          <w:sz w:val="28"/>
          <w:szCs w:val="28"/>
        </w:rPr>
        <w:br/>
        <w:t>FABRIC (Feasibility analysis and development of on-road charging solutions for future EVs) is a project that started in 2014 and ran until the</w:t>
      </w:r>
      <w:r w:rsidRPr="00632A60">
        <w:rPr>
          <w:rFonts w:ascii="CharisSIL" w:hAnsi="CharisSIL"/>
          <w:color w:val="000000"/>
          <w:sz w:val="28"/>
          <w:szCs w:val="28"/>
        </w:rPr>
        <w:br/>
        <w:t>end of 2017. It was mostly funded by the European Commission and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comprised 24 members </w:t>
      </w:r>
      <w:r w:rsidRPr="00632A60">
        <w:rPr>
          <w:rFonts w:ascii="CharisSIL" w:hAnsi="CharisSIL"/>
          <w:color w:val="0F80AC"/>
          <w:sz w:val="28"/>
          <w:szCs w:val="28"/>
        </w:rPr>
        <w:t>[208]</w:t>
      </w:r>
      <w:r w:rsidRPr="00632A60">
        <w:rPr>
          <w:rFonts w:ascii="CharisSIL" w:hAnsi="CharisSIL"/>
          <w:color w:val="000000"/>
          <w:sz w:val="28"/>
          <w:szCs w:val="28"/>
        </w:rPr>
        <w:t>. Its main objective was to investigate the</w:t>
      </w:r>
      <w:r w:rsidRPr="00632A60">
        <w:rPr>
          <w:rFonts w:ascii="CharisSIL" w:hAnsi="CharisSIL"/>
          <w:color w:val="000000"/>
          <w:sz w:val="28"/>
          <w:szCs w:val="28"/>
        </w:rPr>
        <w:br/>
        <w:t>feasibility of DWPT technologies for EV range extension as well as efficiency of DWPT. Deliveries include analysis of existing solutions for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DWPT and their technical feasibility </w:t>
      </w:r>
      <w:r w:rsidRPr="00632A60">
        <w:rPr>
          <w:rFonts w:ascii="CharisSIL" w:hAnsi="CharisSIL"/>
          <w:color w:val="0F80AC"/>
          <w:sz w:val="28"/>
          <w:szCs w:val="28"/>
        </w:rPr>
        <w:t>[209–211]</w:t>
      </w:r>
      <w:r w:rsidRPr="00632A60">
        <w:rPr>
          <w:rFonts w:ascii="CharisSIL" w:hAnsi="CharisSIL"/>
          <w:color w:val="000000"/>
          <w:sz w:val="28"/>
          <w:szCs w:val="28"/>
        </w:rPr>
        <w:t>. DWPT systems of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Qualcomm Halo and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PoliTo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as well as Seat were tested in three different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test sites, France, Italy and Sweden </w:t>
      </w:r>
      <w:r w:rsidRPr="00632A60">
        <w:rPr>
          <w:rFonts w:ascii="CharisSIL" w:hAnsi="CharisSIL"/>
          <w:color w:val="0F80AC"/>
          <w:sz w:val="28"/>
          <w:szCs w:val="28"/>
        </w:rPr>
        <w:t>[212]</w:t>
      </w:r>
      <w:r w:rsidRPr="00632A60">
        <w:rPr>
          <w:rFonts w:ascii="CharisSIL" w:hAnsi="CharisSIL"/>
          <w:color w:val="000000"/>
          <w:sz w:val="28"/>
          <w:szCs w:val="28"/>
        </w:rPr>
        <w:t>.</w:t>
      </w:r>
      <w:r w:rsidRPr="00632A60">
        <w:rPr>
          <w:rFonts w:ascii="CharisSIL" w:hAnsi="CharisSIL"/>
          <w:color w:val="000000"/>
          <w:sz w:val="28"/>
          <w:szCs w:val="28"/>
        </w:rPr>
        <w:br/>
        <w:t>The second project called UNPLUGGED, ran from 2012 until 2015.</w:t>
      </w:r>
      <w:r w:rsidRPr="00632A60">
        <w:rPr>
          <w:rFonts w:ascii="CharisSIL" w:hAnsi="CharisSIL"/>
          <w:color w:val="000000"/>
          <w:sz w:val="28"/>
          <w:szCs w:val="28"/>
        </w:rPr>
        <w:br/>
        <w:t>It examined the impact of WPT of EVs on customers in urban areas and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the feasibility of DWPT for range extension </w:t>
      </w:r>
      <w:r w:rsidRPr="00632A60">
        <w:rPr>
          <w:rFonts w:ascii="CharisSIL" w:hAnsi="CharisSIL"/>
          <w:color w:val="0F80AC"/>
          <w:sz w:val="28"/>
          <w:szCs w:val="28"/>
        </w:rPr>
        <w:t>[213]</w:t>
      </w:r>
      <w:r w:rsidRPr="00632A60">
        <w:rPr>
          <w:rFonts w:ascii="CharisSIL" w:hAnsi="CharisSIL"/>
          <w:color w:val="000000"/>
          <w:sz w:val="28"/>
          <w:szCs w:val="28"/>
        </w:rPr>
        <w:t>. As the FABRIC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proofErr w:type="gramStart"/>
      <w:r w:rsidRPr="00632A60">
        <w:rPr>
          <w:rFonts w:ascii="CharisSIL" w:hAnsi="CharisSIL"/>
          <w:color w:val="000000"/>
          <w:sz w:val="28"/>
          <w:szCs w:val="28"/>
        </w:rPr>
        <w:t>project</w:t>
      </w:r>
      <w:proofErr w:type="gramEnd"/>
      <w:r w:rsidRPr="00632A60">
        <w:rPr>
          <w:rFonts w:ascii="CharisSIL" w:hAnsi="CharisSIL"/>
          <w:color w:val="000000"/>
          <w:sz w:val="28"/>
          <w:szCs w:val="28"/>
        </w:rPr>
        <w:t>, it was funded by the European Commission and was conducted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by a consortium of 17 partners </w:t>
      </w:r>
      <w:r w:rsidRPr="00632A60">
        <w:rPr>
          <w:rFonts w:ascii="CharisSIL" w:hAnsi="CharisSIL"/>
          <w:color w:val="0F80AC"/>
          <w:sz w:val="28"/>
          <w:szCs w:val="28"/>
        </w:rPr>
        <w:t>[214]</w:t>
      </w:r>
      <w:r w:rsidRPr="00632A60">
        <w:rPr>
          <w:rFonts w:ascii="CharisSIL" w:hAnsi="CharisSIL"/>
          <w:color w:val="000000"/>
          <w:sz w:val="28"/>
          <w:szCs w:val="28"/>
        </w:rPr>
        <w:t>. Technical and economic feasibility analysis of the DWPT project have been published in 2013 and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2015 </w:t>
      </w:r>
      <w:r w:rsidRPr="00632A60">
        <w:rPr>
          <w:rFonts w:ascii="CharisSIL" w:hAnsi="CharisSIL"/>
          <w:color w:val="0F80AC"/>
          <w:sz w:val="28"/>
          <w:szCs w:val="28"/>
        </w:rPr>
        <w:t>[215,216]</w:t>
      </w:r>
      <w:r w:rsidRPr="00632A60">
        <w:rPr>
          <w:rFonts w:ascii="CharisSIL" w:hAnsi="CharisSIL"/>
          <w:color w:val="000000"/>
          <w:sz w:val="28"/>
          <w:szCs w:val="28"/>
        </w:rPr>
        <w:t>. As part of the project two prototypes of a wireless</w:t>
      </w:r>
      <w:r w:rsidRPr="00632A60">
        <w:rPr>
          <w:rFonts w:ascii="CharisSIL" w:hAnsi="CharisSIL"/>
          <w:color w:val="000000"/>
          <w:sz w:val="28"/>
          <w:szCs w:val="28"/>
        </w:rPr>
        <w:br/>
        <w:t>charging system were built.</w:t>
      </w:r>
    </w:p>
    <w:p w:rsidR="00B56F7A" w:rsidRPr="00632A60" w:rsidRDefault="00B56F7A">
      <w:pPr>
        <w:rPr>
          <w:rFonts w:ascii="CharisSIL" w:hAnsi="CharisSIL"/>
          <w:color w:val="0F80AC"/>
          <w:sz w:val="28"/>
          <w:szCs w:val="28"/>
        </w:rPr>
      </w:pPr>
      <w:r w:rsidRPr="00632A60">
        <w:rPr>
          <w:rFonts w:ascii="CharisSIL" w:hAnsi="CharisSIL"/>
          <w:color w:val="000000"/>
          <w:sz w:val="28"/>
          <w:szCs w:val="28"/>
        </w:rPr>
        <w:t xml:space="preserve">Besides consortia-run projects, there are also a wide range of companies using WPT. The majority are using this technology for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lowpower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appliances. However, a few companies offer products for EVs.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The main companies include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WiTricity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and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HaloIPT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>. Both companies</w:t>
      </w:r>
      <w:r w:rsidRPr="00632A60">
        <w:rPr>
          <w:rFonts w:ascii="CharisSIL" w:hAnsi="CharisSIL"/>
          <w:color w:val="000000"/>
          <w:sz w:val="28"/>
          <w:szCs w:val="28"/>
        </w:rPr>
        <w:br/>
        <w:t>are based on research conducted at universities and were later formed</w:t>
      </w:r>
      <w:r w:rsidRPr="00632A60">
        <w:rPr>
          <w:rFonts w:ascii="CharisSIL" w:hAnsi="CharisSIL"/>
          <w:color w:val="000000"/>
          <w:sz w:val="28"/>
          <w:szCs w:val="28"/>
        </w:rPr>
        <w:br/>
        <w:t>by researching staff of Massachusetts Institute of Technology (MIT) and</w:t>
      </w:r>
      <w:r w:rsidRPr="00632A60">
        <w:rPr>
          <w:rFonts w:ascii="CharisSIL" w:hAnsi="CharisSIL"/>
          <w:color w:val="000000"/>
          <w:sz w:val="28"/>
          <w:szCs w:val="28"/>
        </w:rPr>
        <w:br/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UoA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, respectively.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WiTricity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is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focussing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its production on stationary</w:t>
      </w:r>
      <w:r w:rsidRPr="00632A60">
        <w:rPr>
          <w:rFonts w:ascii="CharisSIL" w:hAnsi="CharisSIL"/>
          <w:color w:val="000000"/>
          <w:sz w:val="28"/>
          <w:szCs w:val="28"/>
        </w:rPr>
        <w:br/>
        <w:t>charging system of EV. It offers a wide range of different power levels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up to 11 kW with efficiencies of up to 94% </w:t>
      </w:r>
      <w:r w:rsidRPr="00632A60">
        <w:rPr>
          <w:rFonts w:ascii="CharisSIL" w:hAnsi="CharisSIL"/>
          <w:color w:val="0F80AC"/>
          <w:sz w:val="28"/>
          <w:szCs w:val="28"/>
        </w:rPr>
        <w:t>[219]</w:t>
      </w:r>
      <w:r w:rsidRPr="00632A60">
        <w:rPr>
          <w:rFonts w:ascii="CharisSIL" w:hAnsi="CharisSIL"/>
          <w:color w:val="000000"/>
          <w:sz w:val="28"/>
          <w:szCs w:val="28"/>
        </w:rPr>
        <w:t xml:space="preserve">.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HaloIPT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was acquired</w:t>
      </w:r>
      <w:r w:rsidRPr="00632A60">
        <w:rPr>
          <w:rFonts w:ascii="CharisSIL" w:hAnsi="CharisSIL"/>
          <w:color w:val="000000"/>
          <w:sz w:val="28"/>
          <w:szCs w:val="28"/>
        </w:rPr>
        <w:br/>
        <w:t>by Qualcomm in 2011 and is now part of the wireless charging solution</w:t>
      </w:r>
      <w:r w:rsidRPr="00632A60">
        <w:rPr>
          <w:rFonts w:ascii="CharisSIL" w:hAnsi="CharisSIL"/>
          <w:color w:val="000000"/>
          <w:sz w:val="28"/>
          <w:szCs w:val="28"/>
        </w:rPr>
        <w:br/>
        <w:t>offered by Qualcomm. Qualcomm Halo offers stationary charging pads</w:t>
      </w:r>
      <w:r w:rsidRPr="00632A60">
        <w:rPr>
          <w:rFonts w:ascii="CharisSIL" w:hAnsi="CharisSIL"/>
          <w:color w:val="000000"/>
          <w:sz w:val="28"/>
          <w:szCs w:val="28"/>
        </w:rPr>
        <w:br/>
        <w:t>in power levels of 3.3 kW, 6.6 kW, and 7 kW with efficiencies higher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than 90% </w:t>
      </w:r>
      <w:r w:rsidRPr="00632A60">
        <w:rPr>
          <w:rFonts w:ascii="CharisSIL" w:hAnsi="CharisSIL"/>
          <w:color w:val="0F80AC"/>
          <w:sz w:val="28"/>
          <w:szCs w:val="28"/>
        </w:rPr>
        <w:t>[220]</w:t>
      </w:r>
    </w:p>
    <w:p w:rsidR="00B56F7A" w:rsidRPr="00632A60" w:rsidRDefault="00B56F7A">
      <w:pPr>
        <w:rPr>
          <w:rFonts w:ascii="CharisSIL" w:hAnsi="CharisSIL"/>
          <w:color w:val="0F80AC"/>
          <w:sz w:val="28"/>
          <w:szCs w:val="28"/>
        </w:rPr>
      </w:pPr>
    </w:p>
    <w:p w:rsidR="00B56F7A" w:rsidRPr="00632A60" w:rsidRDefault="00B56F7A">
      <w:pPr>
        <w:rPr>
          <w:rFonts w:ascii="CharisSIL" w:hAnsi="CharisSIL"/>
          <w:color w:val="0F80AC"/>
          <w:sz w:val="28"/>
          <w:szCs w:val="28"/>
        </w:rPr>
      </w:pPr>
    </w:p>
    <w:p w:rsidR="00B56F7A" w:rsidRPr="00632A60" w:rsidRDefault="00B56F7A">
      <w:pPr>
        <w:rPr>
          <w:rFonts w:ascii="CharisSIL" w:hAnsi="CharisSIL"/>
          <w:color w:val="0F80AC"/>
          <w:sz w:val="28"/>
          <w:szCs w:val="28"/>
        </w:rPr>
      </w:pP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r w:rsidRPr="00632A60">
        <w:rPr>
          <w:rFonts w:ascii="CharisSIL-Bold" w:hAnsi="CharisSIL-Bold"/>
          <w:b/>
          <w:bCs/>
          <w:color w:val="000000"/>
          <w:sz w:val="28"/>
          <w:szCs w:val="28"/>
        </w:rPr>
        <w:t>4. Health and safety concerns</w:t>
      </w:r>
      <w:r w:rsidRPr="00632A60">
        <w:rPr>
          <w:rFonts w:ascii="CharisSIL-Bold" w:hAnsi="CharisSIL-Bold"/>
          <w:b/>
          <w:bCs/>
          <w:color w:val="000000"/>
          <w:sz w:val="28"/>
          <w:szCs w:val="28"/>
        </w:rPr>
        <w:br/>
      </w:r>
      <w:proofErr w:type="gramStart"/>
      <w:r w:rsidRPr="00632A60">
        <w:rPr>
          <w:rFonts w:ascii="CharisSIL" w:hAnsi="CharisSIL"/>
          <w:color w:val="000000"/>
          <w:sz w:val="28"/>
          <w:szCs w:val="28"/>
        </w:rPr>
        <w:t>The</w:t>
      </w:r>
      <w:proofErr w:type="gramEnd"/>
      <w:r w:rsidRPr="00632A60">
        <w:rPr>
          <w:rFonts w:ascii="CharisSIL" w:hAnsi="CharisSIL"/>
          <w:color w:val="000000"/>
          <w:sz w:val="28"/>
          <w:szCs w:val="28"/>
        </w:rPr>
        <w:t xml:space="preserve"> use of time-varying currents and voltages, particularly at higher</w:t>
      </w:r>
      <w:r w:rsidRPr="00632A60">
        <w:rPr>
          <w:rFonts w:ascii="CharisSIL" w:hAnsi="CharisSIL"/>
          <w:color w:val="000000"/>
          <w:sz w:val="28"/>
          <w:szCs w:val="28"/>
        </w:rPr>
        <w:br/>
        <w:t>power levels, brings certain risks and concerns to health and safety (H&amp;</w:t>
      </w:r>
      <w:r w:rsidRPr="00632A60">
        <w:rPr>
          <w:rFonts w:ascii="CharisSIL" w:hAnsi="CharisSIL"/>
          <w:color w:val="000000"/>
          <w:sz w:val="28"/>
          <w:szCs w:val="28"/>
        </w:rPr>
        <w:br/>
        <w:t>S). However, these risks are well known due to their usage in other</w:t>
      </w:r>
      <w:r w:rsidRPr="00632A60">
        <w:rPr>
          <w:rFonts w:ascii="CharisSIL" w:hAnsi="CharisSIL"/>
          <w:color w:val="000000"/>
          <w:sz w:val="28"/>
          <w:szCs w:val="28"/>
        </w:rPr>
        <w:br/>
        <w:t>fields and can therefore be addressed. They include electromagnetic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field exposure, electrical shock, and fire hazards </w:t>
      </w:r>
      <w:r w:rsidRPr="00632A60">
        <w:rPr>
          <w:rFonts w:ascii="CharisSIL" w:hAnsi="CharisSIL"/>
          <w:color w:val="0F80AC"/>
          <w:sz w:val="28"/>
          <w:szCs w:val="28"/>
        </w:rPr>
        <w:t>[221]</w:t>
      </w:r>
      <w:r w:rsidRPr="00632A60">
        <w:rPr>
          <w:rFonts w:ascii="CharisSIL" w:hAnsi="CharisSIL"/>
          <w:color w:val="000000"/>
          <w:sz w:val="28"/>
          <w:szCs w:val="28"/>
        </w:rPr>
        <w:t>. Hence, the</w:t>
      </w:r>
      <w:r w:rsidRPr="00632A60">
        <w:rPr>
          <w:rFonts w:ascii="CharisSIL" w:hAnsi="CharisSIL"/>
          <w:color w:val="000000"/>
          <w:sz w:val="28"/>
          <w:szCs w:val="28"/>
        </w:rPr>
        <w:br/>
        <w:t>bigger challenge with H&amp;S in WPT is the public perception of the safe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employment rather than any actual challenge for the system </w:t>
      </w:r>
      <w:r w:rsidRPr="00632A60">
        <w:rPr>
          <w:rFonts w:ascii="CharisSIL" w:hAnsi="CharisSIL"/>
          <w:color w:val="0F80AC"/>
          <w:sz w:val="28"/>
          <w:szCs w:val="28"/>
        </w:rPr>
        <w:t>[222]</w:t>
      </w:r>
      <w:r w:rsidRPr="00632A60">
        <w:rPr>
          <w:rFonts w:ascii="CharisSIL" w:hAnsi="CharisSIL"/>
          <w:color w:val="000000"/>
          <w:sz w:val="28"/>
          <w:szCs w:val="28"/>
        </w:rPr>
        <w:t>. The</w:t>
      </w:r>
      <w:r w:rsidRPr="00632A60">
        <w:rPr>
          <w:rFonts w:ascii="CharisSIL" w:hAnsi="CharisSIL"/>
          <w:color w:val="000000"/>
          <w:sz w:val="28"/>
          <w:szCs w:val="28"/>
        </w:rPr>
        <w:br/>
        <w:t>high-frequency currents in the system produce varying magnetic and</w:t>
      </w:r>
      <w:r w:rsidRPr="00632A60">
        <w:rPr>
          <w:rFonts w:ascii="CharisSIL" w:hAnsi="CharisSIL"/>
          <w:color w:val="000000"/>
          <w:sz w:val="28"/>
          <w:szCs w:val="28"/>
        </w:rPr>
        <w:br/>
        <w:t>electric fields. Due to the low coupling between coils, the share of</w:t>
      </w:r>
      <w:r w:rsidRPr="00632A60">
        <w:rPr>
          <w:rFonts w:ascii="CharisSIL" w:hAnsi="CharisSIL"/>
          <w:color w:val="000000"/>
          <w:sz w:val="28"/>
          <w:szCs w:val="28"/>
        </w:rPr>
        <w:br/>
        <w:t>leakage field is high. It causes undesirable electromagnetic interference</w:t>
      </w:r>
      <w:r w:rsidRPr="00632A60">
        <w:rPr>
          <w:rFonts w:ascii="CharisSIL" w:hAnsi="CharisSIL"/>
          <w:color w:val="000000"/>
          <w:sz w:val="28"/>
          <w:szCs w:val="28"/>
        </w:rPr>
        <w:br/>
        <w:t>and field exposure, which not only lowers the system efficiency, but</w:t>
      </w:r>
      <w:r w:rsidRPr="00632A60">
        <w:rPr>
          <w:rFonts w:ascii="CharisSIL" w:hAnsi="CharisSIL"/>
          <w:color w:val="000000"/>
          <w:sz w:val="28"/>
          <w:szCs w:val="28"/>
        </w:rPr>
        <w:br/>
        <w:t>also leads to safety risks. To limit the impact of magnetic and electric</w:t>
      </w:r>
      <w:r w:rsidRPr="00632A60">
        <w:rPr>
          <w:rFonts w:ascii="CharisSIL" w:hAnsi="CharisSIL"/>
          <w:color w:val="000000"/>
          <w:sz w:val="28"/>
          <w:szCs w:val="28"/>
        </w:rPr>
        <w:br/>
        <w:t>fields on employees and for the public in general, the International</w:t>
      </w:r>
      <w:r w:rsidRPr="00632A60">
        <w:rPr>
          <w:rFonts w:ascii="CharisSIL" w:hAnsi="CharisSIL"/>
          <w:color w:val="000000"/>
          <w:sz w:val="28"/>
          <w:szCs w:val="28"/>
        </w:rPr>
        <w:br/>
        <w:t>Commission on Non-Ionizing Radiation Protection (ICNIRP) proposed a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guideline for field limitations </w:t>
      </w:r>
      <w:r w:rsidRPr="00632A60">
        <w:rPr>
          <w:rFonts w:ascii="CharisSIL" w:hAnsi="CharisSIL"/>
          <w:color w:val="0F80AC"/>
          <w:sz w:val="28"/>
          <w:szCs w:val="28"/>
        </w:rPr>
        <w:t>[223,224]</w:t>
      </w:r>
      <w:r w:rsidRPr="00632A60">
        <w:rPr>
          <w:rFonts w:ascii="CharisSIL" w:hAnsi="CharisSIL"/>
          <w:color w:val="000000"/>
          <w:sz w:val="28"/>
          <w:szCs w:val="28"/>
        </w:rPr>
        <w:t>. The reference levels of electric</w:t>
      </w:r>
      <w:r w:rsidRPr="00632A60">
        <w:rPr>
          <w:rFonts w:ascii="CharisSIL" w:hAnsi="CharisSIL"/>
          <w:color w:val="000000"/>
          <w:sz w:val="28"/>
          <w:szCs w:val="28"/>
        </w:rPr>
        <w:br/>
        <w:t>and magnetic fields for public and occupational ex</w:t>
      </w:r>
      <w:bookmarkStart w:id="0" w:name="_GoBack"/>
      <w:bookmarkEnd w:id="0"/>
      <w:r w:rsidRPr="00632A60">
        <w:rPr>
          <w:rFonts w:ascii="CharisSIL" w:hAnsi="CharisSIL"/>
          <w:color w:val="000000"/>
          <w:sz w:val="28"/>
          <w:szCs w:val="28"/>
        </w:rPr>
        <w:t>posure are shown in</w:t>
      </w:r>
      <w:r w:rsidRPr="00632A60">
        <w:rPr>
          <w:rFonts w:ascii="CharisSIL" w:hAnsi="CharisSIL"/>
          <w:color w:val="000000"/>
          <w:sz w:val="28"/>
          <w:szCs w:val="28"/>
        </w:rPr>
        <w:br/>
      </w:r>
      <w:r w:rsidRPr="00632A60">
        <w:rPr>
          <w:rFonts w:ascii="CharisSIL" w:hAnsi="CharisSIL"/>
          <w:color w:val="0F80AC"/>
          <w:sz w:val="28"/>
          <w:szCs w:val="28"/>
        </w:rPr>
        <w:t>Fig. 15</w:t>
      </w:r>
      <w:r w:rsidRPr="00632A60">
        <w:rPr>
          <w:rFonts w:ascii="CharisSIL" w:hAnsi="CharisSIL"/>
          <w:color w:val="000000"/>
          <w:sz w:val="28"/>
          <w:szCs w:val="28"/>
        </w:rPr>
        <w:t>.</w:t>
      </w:r>
      <w:r w:rsidRPr="00632A60">
        <w:rPr>
          <w:rFonts w:ascii="CharisSIL" w:hAnsi="CharisSIL"/>
          <w:color w:val="000000"/>
          <w:sz w:val="28"/>
          <w:szCs w:val="28"/>
        </w:rPr>
        <w:br/>
        <w:t>In the late 2000s, the World Health Organization (WHO) presented</w:t>
      </w:r>
      <w:r w:rsidRPr="00632A60">
        <w:rPr>
          <w:rFonts w:ascii="CharisSIL" w:hAnsi="CharisSIL"/>
          <w:color w:val="000000"/>
          <w:sz w:val="28"/>
          <w:szCs w:val="28"/>
        </w:rPr>
        <w:br/>
        <w:t>a report that stated there was a lack of scientific evidence for health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risks caused by fields with a frequency below 100 kHz </w:t>
      </w:r>
      <w:r w:rsidRPr="00632A60">
        <w:rPr>
          <w:rFonts w:ascii="CharisSIL" w:hAnsi="CharisSIL"/>
          <w:color w:val="0F80AC"/>
          <w:sz w:val="28"/>
          <w:szCs w:val="28"/>
        </w:rPr>
        <w:t>[225]</w:t>
      </w:r>
      <w:r w:rsidRPr="00632A60">
        <w:rPr>
          <w:rFonts w:ascii="CharisSIL" w:hAnsi="CharisSIL"/>
          <w:color w:val="000000"/>
          <w:sz w:val="28"/>
          <w:szCs w:val="28"/>
        </w:rPr>
        <w:t>. Since</w:t>
      </w:r>
      <w:r w:rsidRPr="00632A60">
        <w:rPr>
          <w:rFonts w:ascii="CharisSIL" w:hAnsi="CharisSIL"/>
          <w:color w:val="000000"/>
          <w:sz w:val="28"/>
          <w:szCs w:val="28"/>
        </w:rPr>
        <w:br/>
        <w:t>then, the amount of research on low-frequency magnetic and electric</w:t>
      </w:r>
      <w:r w:rsidRPr="00632A60">
        <w:rPr>
          <w:rFonts w:ascii="CharisSIL" w:hAnsi="CharisSIL"/>
          <w:color w:val="000000"/>
          <w:sz w:val="28"/>
          <w:szCs w:val="28"/>
        </w:rPr>
        <w:br/>
        <w:t>fields has increased but it is difficult to study the long-term effects of</w:t>
      </w:r>
      <w:r w:rsidRPr="00632A60">
        <w:rPr>
          <w:rFonts w:ascii="CharisSIL" w:hAnsi="CharisSIL"/>
          <w:color w:val="000000"/>
          <w:sz w:val="28"/>
          <w:szCs w:val="28"/>
        </w:rPr>
        <w:br/>
        <w:t>magnetic radiation. Short-term effects and biological response can be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studied by using experiments on animals, mainly mice </w:t>
      </w:r>
      <w:r w:rsidRPr="00632A60">
        <w:rPr>
          <w:rFonts w:ascii="CharisSIL" w:hAnsi="CharisSIL"/>
          <w:color w:val="0F80AC"/>
          <w:sz w:val="28"/>
          <w:szCs w:val="28"/>
        </w:rPr>
        <w:t>[226]</w:t>
      </w:r>
      <w:r w:rsidRPr="00632A60">
        <w:rPr>
          <w:rFonts w:ascii="CharisSIL" w:hAnsi="CharisSIL"/>
          <w:color w:val="000000"/>
          <w:sz w:val="28"/>
          <w:szCs w:val="28"/>
        </w:rPr>
        <w:t>. A study</w:t>
      </w:r>
      <w:r w:rsidRPr="00632A60">
        <w:rPr>
          <w:rFonts w:ascii="CharisSIL" w:hAnsi="CharisSIL"/>
          <w:color w:val="000000"/>
          <w:sz w:val="28"/>
          <w:szCs w:val="28"/>
        </w:rPr>
        <w:br/>
        <w:t>conducted by Nishimura, et al. could not observe any changes in reproductive organs of rats during and after magnetic field exposure with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frequencies of 20 kHz and 60 kHz </w:t>
      </w:r>
      <w:r w:rsidRPr="00632A60">
        <w:rPr>
          <w:rFonts w:ascii="CharisSIL" w:hAnsi="CharisSIL"/>
          <w:color w:val="0F80AC"/>
          <w:sz w:val="28"/>
          <w:szCs w:val="28"/>
        </w:rPr>
        <w:t>[227]</w:t>
      </w:r>
      <w:r w:rsidRPr="00632A60">
        <w:rPr>
          <w:rFonts w:ascii="CharisSIL" w:hAnsi="CharisSIL"/>
          <w:color w:val="000000"/>
          <w:sz w:val="28"/>
          <w:szCs w:val="28"/>
        </w:rPr>
        <w:t>. The investigated magnetic</w:t>
      </w:r>
      <w:r w:rsidRPr="00632A60">
        <w:rPr>
          <w:rFonts w:ascii="CharisSIL" w:hAnsi="CharisSIL"/>
          <w:color w:val="000000"/>
          <w:sz w:val="28"/>
          <w:szCs w:val="28"/>
        </w:rPr>
        <w:br/>
        <w:t>fields had a higher field intensity but a lower frequency than currently</w:t>
      </w:r>
      <w:r w:rsidRPr="00632A60">
        <w:rPr>
          <w:rFonts w:ascii="CharisSIL" w:hAnsi="CharisSIL"/>
          <w:color w:val="000000"/>
          <w:sz w:val="28"/>
          <w:szCs w:val="28"/>
        </w:rPr>
        <w:br/>
        <w:t>present in WPT. It is therefore difficult to gauge possible impacts on the</w:t>
      </w:r>
      <w:r w:rsidRPr="00632A60">
        <w:rPr>
          <w:rFonts w:ascii="CharisSIL" w:hAnsi="CharisSIL"/>
          <w:color w:val="000000"/>
          <w:sz w:val="28"/>
          <w:szCs w:val="28"/>
        </w:rPr>
        <w:br/>
        <w:t>human body.</w:t>
      </w:r>
      <w:r w:rsidRPr="00632A60">
        <w:rPr>
          <w:rFonts w:ascii="CharisSIL" w:hAnsi="CharisSIL"/>
          <w:color w:val="000000"/>
          <w:sz w:val="28"/>
          <w:szCs w:val="28"/>
        </w:rPr>
        <w:br/>
        <w:t>With the aid of anatomical models of humans, it is possible to assess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the impact of external magnetic field exposure on humans </w:t>
      </w:r>
      <w:r w:rsidRPr="00632A60">
        <w:rPr>
          <w:rFonts w:ascii="CharisSIL" w:hAnsi="CharisSIL"/>
          <w:color w:val="0F80AC"/>
          <w:sz w:val="28"/>
          <w:szCs w:val="28"/>
        </w:rPr>
        <w:t>[228–230]</w:t>
      </w:r>
      <w:r w:rsidRPr="00632A60">
        <w:rPr>
          <w:rFonts w:ascii="CharisSIL" w:hAnsi="CharisSIL"/>
          <w:color w:val="000000"/>
          <w:sz w:val="28"/>
          <w:szCs w:val="28"/>
        </w:rPr>
        <w:t>.</w:t>
      </w:r>
      <w:r w:rsidRPr="00632A60">
        <w:rPr>
          <w:rFonts w:ascii="CharisSIL" w:hAnsi="CharisSIL"/>
          <w:color w:val="000000"/>
          <w:sz w:val="28"/>
          <w:szCs w:val="28"/>
        </w:rPr>
        <w:br/>
        <w:t>These models are based on MRI-scanned human bodies and include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properties of multiple different tissues, organs, and body fluids </w:t>
      </w:r>
      <w:r w:rsidRPr="00632A60">
        <w:rPr>
          <w:rFonts w:ascii="CharisSIL" w:hAnsi="CharisSIL"/>
          <w:color w:val="0F80AC"/>
          <w:sz w:val="28"/>
          <w:szCs w:val="28"/>
        </w:rPr>
        <w:t>[31]</w:t>
      </w:r>
      <w:r w:rsidRPr="00632A60">
        <w:rPr>
          <w:rFonts w:ascii="CharisSIL" w:hAnsi="CharisSIL"/>
          <w:color w:val="000000"/>
          <w:sz w:val="28"/>
          <w:szCs w:val="28"/>
        </w:rPr>
        <w:t>. By</w:t>
      </w:r>
      <w:r w:rsidRPr="00632A60">
        <w:rPr>
          <w:rFonts w:ascii="CharisSIL" w:hAnsi="CharisSIL"/>
          <w:color w:val="000000"/>
          <w:sz w:val="28"/>
          <w:szCs w:val="28"/>
        </w:rPr>
        <w:br/>
        <w:t>coupling the anatomical model and the magnetic field generated by the</w:t>
      </w:r>
      <w:r w:rsidRPr="00632A60">
        <w:rPr>
          <w:rFonts w:ascii="CharisSIL" w:hAnsi="CharisSIL"/>
          <w:color w:val="000000"/>
          <w:sz w:val="28"/>
          <w:szCs w:val="28"/>
        </w:rPr>
        <w:br/>
        <w:t>WPT system, a tool is obtained to investigate the impact of magnetic</w:t>
      </w:r>
      <w:r w:rsidRPr="00632A60">
        <w:rPr>
          <w:rFonts w:ascii="CharisSIL" w:hAnsi="CharisSIL"/>
          <w:color w:val="000000"/>
          <w:sz w:val="28"/>
          <w:szCs w:val="28"/>
        </w:rPr>
        <w:br/>
        <w:t>field exposure. A person can interact with the wireless charging system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</w:p>
    <w:p w:rsidR="00B56F7A" w:rsidRPr="00632A60" w:rsidRDefault="00B56F7A">
      <w:pPr>
        <w:rPr>
          <w:rFonts w:ascii="CharisSIL-Bold" w:hAnsi="CharisSIL-Bold"/>
          <w:b/>
          <w:bCs/>
          <w:color w:val="000000"/>
          <w:sz w:val="28"/>
          <w:szCs w:val="28"/>
        </w:rPr>
      </w:pPr>
      <w:r w:rsidRPr="00632A60">
        <w:rPr>
          <w:rFonts w:ascii="CharisSIL-Bold" w:hAnsi="CharisSIL-Bold"/>
          <w:b/>
          <w:bCs/>
          <w:color w:val="000000"/>
          <w:sz w:val="28"/>
          <w:szCs w:val="28"/>
        </w:rPr>
        <w:t>7. Costs of WPT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r w:rsidRPr="00632A60">
        <w:rPr>
          <w:rFonts w:ascii="CharisSIL" w:hAnsi="CharisSIL"/>
          <w:color w:val="000000"/>
          <w:sz w:val="28"/>
          <w:szCs w:val="28"/>
        </w:rPr>
        <w:t>Currently EVs are more expensive than conventional ICE-vehicles due</w:t>
      </w:r>
      <w:r w:rsidRPr="00632A60">
        <w:rPr>
          <w:rFonts w:ascii="CharisSIL" w:hAnsi="CharisSIL"/>
          <w:color w:val="000000"/>
          <w:sz w:val="28"/>
          <w:szCs w:val="28"/>
        </w:rPr>
        <w:br/>
        <w:t>to the large on-board battery packs. While using stationary wireless</w:t>
      </w:r>
      <w:r w:rsidRPr="00632A60">
        <w:rPr>
          <w:rFonts w:ascii="CharisSIL" w:hAnsi="CharisSIL"/>
          <w:color w:val="000000"/>
          <w:sz w:val="28"/>
          <w:szCs w:val="28"/>
        </w:rPr>
        <w:br/>
        <w:t>charging, the conventional plug-in charging system is substituted with a</w:t>
      </w:r>
      <w:r w:rsidRPr="00632A60">
        <w:rPr>
          <w:rFonts w:ascii="CharisSIL" w:hAnsi="CharisSIL"/>
          <w:color w:val="000000"/>
          <w:sz w:val="28"/>
          <w:szCs w:val="28"/>
        </w:rPr>
        <w:br/>
        <w:t>charging pad installed in the ground.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  <w:proofErr w:type="gramStart"/>
      <w:r w:rsidRPr="00632A60">
        <w:rPr>
          <w:rFonts w:ascii="CharisSIL" w:hAnsi="CharisSIL"/>
          <w:color w:val="000000"/>
          <w:sz w:val="28"/>
          <w:szCs w:val="28"/>
        </w:rPr>
        <w:t>highways</w:t>
      </w:r>
      <w:proofErr w:type="gramEnd"/>
      <w:r w:rsidRPr="00632A60">
        <w:rPr>
          <w:rFonts w:ascii="CharisSIL" w:hAnsi="CharisSIL"/>
          <w:color w:val="000000"/>
          <w:sz w:val="28"/>
          <w:szCs w:val="28"/>
        </w:rPr>
        <w:t xml:space="preserve"> and motorways. For example, between 2016 and 2017, 65</w:t>
      </w:r>
      <w:proofErr w:type="gramStart"/>
      <w:r w:rsidRPr="00632A60">
        <w:rPr>
          <w:rFonts w:ascii="CharisSIL" w:hAnsi="CharisSIL"/>
          <w:color w:val="000000"/>
          <w:sz w:val="28"/>
          <w:szCs w:val="28"/>
        </w:rPr>
        <w:t>%</w:t>
      </w:r>
      <w:proofErr w:type="gramEnd"/>
      <w:r w:rsidRPr="00632A60">
        <w:rPr>
          <w:rFonts w:ascii="CharisSIL" w:hAnsi="CharisSIL"/>
          <w:color w:val="000000"/>
          <w:sz w:val="28"/>
          <w:szCs w:val="28"/>
        </w:rPr>
        <w:br/>
        <w:t>(212 billion miles) of the driven miles in the UK were located on 13%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(~32,000 miles) of the road length </w:t>
      </w:r>
      <w:r w:rsidRPr="00632A60">
        <w:rPr>
          <w:rFonts w:ascii="CharisSIL" w:hAnsi="CharisSIL"/>
          <w:color w:val="0F80AC"/>
          <w:sz w:val="28"/>
          <w:szCs w:val="28"/>
        </w:rPr>
        <w:t>[276]</w:t>
      </w:r>
      <w:r w:rsidRPr="00632A60">
        <w:rPr>
          <w:rFonts w:ascii="CharisSIL" w:hAnsi="CharisSIL"/>
          <w:color w:val="000000"/>
          <w:sz w:val="28"/>
          <w:szCs w:val="28"/>
        </w:rPr>
        <w:t>. This means that much of the</w:t>
      </w:r>
      <w:r w:rsidRPr="00632A60">
        <w:rPr>
          <w:rFonts w:ascii="CharisSIL" w:hAnsi="CharisSIL"/>
          <w:color w:val="000000"/>
          <w:sz w:val="28"/>
          <w:szCs w:val="28"/>
        </w:rPr>
        <w:br/>
        <w:t>daily driven mileage can be covered by installing DWPT on these key</w:t>
      </w:r>
      <w:r w:rsidRPr="00632A60">
        <w:rPr>
          <w:rFonts w:ascii="CharisSIL" w:hAnsi="CharisSIL"/>
          <w:color w:val="000000"/>
          <w:sz w:val="28"/>
          <w:szCs w:val="28"/>
        </w:rPr>
        <w:br/>
        <w:t>roads. In general, the economic feasibility of a DWPT system depends</w:t>
      </w:r>
      <w:r w:rsidRPr="00632A60">
        <w:rPr>
          <w:rFonts w:ascii="CharisSIL" w:hAnsi="CharisSIL"/>
          <w:color w:val="000000"/>
          <w:sz w:val="28"/>
          <w:szCs w:val="28"/>
        </w:rPr>
        <w:br/>
        <w:t>on road coverage, power level, EV penetration rate, and battery size</w:t>
      </w:r>
    </w:p>
    <w:p w:rsidR="00B56F7A" w:rsidRPr="00632A60" w:rsidRDefault="00B56F7A">
      <w:pPr>
        <w:rPr>
          <w:rFonts w:ascii="CharisSIL-Bold" w:hAnsi="CharisSIL-Bold"/>
          <w:b/>
          <w:bCs/>
          <w:color w:val="000000"/>
          <w:sz w:val="28"/>
          <w:szCs w:val="28"/>
        </w:rPr>
      </w:pPr>
      <w:proofErr w:type="gramStart"/>
      <w:r w:rsidRPr="00632A60">
        <w:rPr>
          <w:rFonts w:ascii="CharisSIL" w:hAnsi="CharisSIL"/>
          <w:color w:val="000000"/>
          <w:sz w:val="28"/>
          <w:szCs w:val="28"/>
        </w:rPr>
        <w:t>a</w:t>
      </w:r>
      <w:proofErr w:type="gramEnd"/>
      <w:r w:rsidRPr="00632A60">
        <w:rPr>
          <w:rFonts w:ascii="CharisSIL" w:hAnsi="CharisSIL"/>
          <w:color w:val="000000"/>
          <w:sz w:val="28"/>
          <w:szCs w:val="28"/>
        </w:rPr>
        <w:t xml:space="preserve"> case study based on a bus service in North Holland was investigated. The bus service included 25 buses, five of which were kept</w:t>
      </w:r>
      <w:r w:rsidRPr="00632A60">
        <w:rPr>
          <w:rFonts w:ascii="CharisSIL" w:hAnsi="CharisSIL"/>
          <w:color w:val="000000"/>
          <w:sz w:val="28"/>
          <w:szCs w:val="28"/>
        </w:rPr>
        <w:br/>
        <w:t>as redundancy. Each bus was equipped with a 500 kWh battery pack</w:t>
      </w:r>
      <w:r w:rsidRPr="00632A60">
        <w:rPr>
          <w:rFonts w:ascii="CharisSIL" w:hAnsi="CharisSIL"/>
          <w:color w:val="000000"/>
          <w:sz w:val="28"/>
          <w:szCs w:val="28"/>
        </w:rPr>
        <w:br/>
        <w:t>and was expected to drive 400 km/day, split into ten 40 km long services with six minute breaks. Along the service, there were 24 stops of</w:t>
      </w:r>
      <w:r w:rsidRPr="00632A60">
        <w:rPr>
          <w:rFonts w:ascii="CharisSIL" w:hAnsi="CharisSIL"/>
          <w:color w:val="000000"/>
          <w:sz w:val="28"/>
          <w:szCs w:val="28"/>
        </w:rPr>
        <w:br/>
        <w:t>20 s each. The Urban Dynamometer Driving Schedule (UDDS) standard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driving cycle was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utilised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and a climate model predicted the auxiliary</w:t>
      </w:r>
      <w:r w:rsidRPr="00632A60">
        <w:rPr>
          <w:rFonts w:ascii="CharisSIL" w:hAnsi="CharisSIL"/>
          <w:color w:val="000000"/>
          <w:sz w:val="28"/>
          <w:szCs w:val="28"/>
        </w:rPr>
        <w:br/>
        <w:t>power consumption of each bus to be 25 kW. Under these conditions the</w:t>
      </w:r>
      <w:r w:rsidRPr="00632A60">
        <w:rPr>
          <w:rFonts w:ascii="CharisSIL" w:hAnsi="CharisSIL"/>
          <w:color w:val="000000"/>
          <w:sz w:val="28"/>
          <w:szCs w:val="28"/>
        </w:rPr>
        <w:br/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dropped to 68.66% after the first 40 km. The required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of the</w:t>
      </w:r>
      <w:r w:rsidRPr="00632A60">
        <w:rPr>
          <w:rFonts w:ascii="CharisSIL" w:hAnsi="CharisSIL"/>
          <w:color w:val="000000"/>
          <w:sz w:val="28"/>
          <w:szCs w:val="28"/>
        </w:rPr>
        <w:br/>
        <w:t>on-board battery to achieve a total of 400 km was calculated to be 87%.</w:t>
      </w:r>
      <w:r w:rsidRPr="00632A60">
        <w:rPr>
          <w:rFonts w:ascii="CharisSIL" w:hAnsi="CharisSIL"/>
          <w:color w:val="000000"/>
          <w:sz w:val="28"/>
          <w:szCs w:val="28"/>
        </w:rPr>
        <w:br/>
        <w:t>A combination of stationary charging and dynamic charging was used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to remove the discrepancy between actual and required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SoC.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</w:t>
      </w:r>
      <w:r w:rsidRPr="00632A60">
        <w:rPr>
          <w:rFonts w:ascii="CharisSIL" w:hAnsi="CharisSIL"/>
          <w:color w:val="0F80AC"/>
          <w:sz w:val="28"/>
          <w:szCs w:val="28"/>
        </w:rPr>
        <w:t>Fig. 20</w:t>
      </w:r>
      <w:r w:rsidRPr="00632A60">
        <w:rPr>
          <w:rFonts w:ascii="CharisSIL" w:hAnsi="CharisSIL"/>
          <w:color w:val="0F80AC"/>
          <w:sz w:val="28"/>
          <w:szCs w:val="28"/>
        </w:rPr>
        <w:br/>
      </w:r>
      <w:r w:rsidRPr="00632A60">
        <w:rPr>
          <w:rFonts w:ascii="CharisSIL" w:hAnsi="CharisSIL"/>
          <w:color w:val="000000"/>
          <w:sz w:val="28"/>
          <w:szCs w:val="28"/>
        </w:rPr>
        <w:t xml:space="preserve">depicts the variation in the final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and achievable driving range of</w:t>
      </w:r>
      <w:r w:rsidRPr="00632A60">
        <w:rPr>
          <w:rFonts w:ascii="CharisSIL" w:hAnsi="CharisSIL"/>
          <w:color w:val="000000"/>
          <w:sz w:val="28"/>
          <w:szCs w:val="28"/>
        </w:rPr>
        <w:br/>
        <w:t>the bus depending on the stationary charging power on each stop. The</w:t>
      </w:r>
      <w:r w:rsidRPr="00632A60">
        <w:rPr>
          <w:rFonts w:ascii="CharisSIL" w:hAnsi="CharisSIL"/>
          <w:color w:val="000000"/>
          <w:sz w:val="28"/>
          <w:szCs w:val="28"/>
        </w:rPr>
        <w:br/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 xml:space="preserve"> can be increased to 77.7% when a 200 kW stationary system is</w:t>
      </w:r>
      <w:r w:rsidRPr="00632A60">
        <w:rPr>
          <w:rFonts w:ascii="CharisSIL" w:hAnsi="CharisSIL"/>
          <w:color w:val="000000"/>
          <w:sz w:val="28"/>
          <w:szCs w:val="28"/>
        </w:rPr>
        <w:br/>
        <w:t xml:space="preserve">used. As this is still below the required </w:t>
      </w:r>
      <w:proofErr w:type="spellStart"/>
      <w:r w:rsidRPr="00632A60">
        <w:rPr>
          <w:rFonts w:ascii="CharisSIL" w:hAnsi="CharisSIL"/>
          <w:color w:val="000000"/>
          <w:sz w:val="28"/>
          <w:szCs w:val="28"/>
        </w:rPr>
        <w:t>SoC</w:t>
      </w:r>
      <w:proofErr w:type="spellEnd"/>
      <w:r w:rsidRPr="00632A60">
        <w:rPr>
          <w:rFonts w:ascii="CharisSIL" w:hAnsi="CharisSIL"/>
          <w:color w:val="000000"/>
          <w:sz w:val="28"/>
          <w:szCs w:val="28"/>
        </w:rPr>
        <w:t>, an additional DWPT system</w:t>
      </w:r>
      <w:r w:rsidRPr="00632A60">
        <w:rPr>
          <w:rFonts w:ascii="CharisSIL" w:hAnsi="CharisSIL"/>
          <w:color w:val="000000"/>
          <w:sz w:val="28"/>
          <w:szCs w:val="28"/>
        </w:rPr>
        <w:br/>
        <w:t>must be deployed.</w:t>
      </w:r>
    </w:p>
    <w:p w:rsidR="00B56F7A" w:rsidRPr="00632A60" w:rsidRDefault="00B56F7A">
      <w:pPr>
        <w:rPr>
          <w:rFonts w:ascii="CharisSIL" w:hAnsi="CharisSIL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color w:val="000000"/>
          <w:sz w:val="28"/>
          <w:szCs w:val="28"/>
        </w:rPr>
      </w:pPr>
    </w:p>
    <w:p w:rsidR="00B56F7A" w:rsidRPr="00632A60" w:rsidRDefault="00B56F7A">
      <w:pPr>
        <w:rPr>
          <w:rFonts w:ascii="AdvGulliv-R" w:hAnsi="AdvGulliv-R"/>
          <w:b/>
          <w:color w:val="000000"/>
          <w:sz w:val="28"/>
          <w:szCs w:val="28"/>
        </w:rPr>
      </w:pPr>
    </w:p>
    <w:p w:rsidR="00B56F7A" w:rsidRPr="00632A60" w:rsidRDefault="00B56F7A">
      <w:pPr>
        <w:rPr>
          <w:sz w:val="28"/>
          <w:szCs w:val="28"/>
        </w:rPr>
      </w:pPr>
      <w:r w:rsidRPr="00632A60">
        <w:rPr>
          <w:rFonts w:ascii="AdvGulliv-I" w:hAnsi="AdvGulliv-I"/>
          <w:b/>
          <w:color w:val="000000"/>
          <w:sz w:val="28"/>
          <w:szCs w:val="28"/>
        </w:rPr>
        <w:t>4.3. Other applications</w:t>
      </w:r>
      <w:r w:rsidRPr="00632A60">
        <w:rPr>
          <w:rFonts w:ascii="AdvGulliv-I" w:hAnsi="AdvGulliv-I"/>
          <w:color w:val="000000"/>
          <w:sz w:val="28"/>
          <w:szCs w:val="28"/>
        </w:rPr>
        <w:br/>
      </w:r>
      <w:r w:rsidRPr="00632A60">
        <w:rPr>
          <w:rFonts w:ascii="AdvGulliv-R" w:hAnsi="AdvGulliv-R"/>
          <w:color w:val="000000"/>
          <w:sz w:val="28"/>
          <w:szCs w:val="28"/>
        </w:rPr>
        <w:t>Wireless charging can also be applicable for other transportation modes that require continuous fixed-route operations, such</w:t>
      </w:r>
      <w:r w:rsidRPr="00632A60">
        <w:rPr>
          <w:rFonts w:ascii="AdvGulliv-R" w:hAnsi="AdvGulliv-R"/>
          <w:color w:val="000000"/>
          <w:sz w:val="28"/>
          <w:szCs w:val="28"/>
        </w:rPr>
        <w:br/>
        <w:t>as harbor, airport, rail systems, and theme parks. Transporting</w:t>
      </w:r>
      <w:r w:rsidRPr="00632A60">
        <w:rPr>
          <w:rFonts w:ascii="AdvGulliv-R" w:hAnsi="AdvGulliv-R"/>
          <w:color w:val="000000"/>
          <w:sz w:val="28"/>
          <w:szCs w:val="28"/>
        </w:rPr>
        <w:br/>
        <w:t>commodities from shipping ports to nearby distribution zones is</w:t>
      </w:r>
      <w:r w:rsidRPr="00632A60">
        <w:rPr>
          <w:rFonts w:ascii="AdvGulliv-R" w:hAnsi="AdvGulliv-R"/>
          <w:color w:val="000000"/>
          <w:sz w:val="28"/>
          <w:szCs w:val="28"/>
        </w:rPr>
        <w:br/>
        <w:t>often referred to as drayage operations. ‘‘Zero emission” drayage</w:t>
      </w:r>
      <w:r w:rsidRPr="00632A60">
        <w:rPr>
          <w:rFonts w:ascii="AdvGulliv-R" w:hAnsi="AdvGulliv-R"/>
          <w:color w:val="000000"/>
          <w:sz w:val="28"/>
          <w:szCs w:val="28"/>
        </w:rPr>
        <w:br/>
        <w:t>operations are the long term goal of many large port cities and</w:t>
      </w:r>
      <w:r w:rsidRPr="00632A60">
        <w:rPr>
          <w:rFonts w:ascii="AdvGulliv-R" w:hAnsi="AdvGulliv-R"/>
          <w:color w:val="000000"/>
          <w:sz w:val="28"/>
          <w:szCs w:val="28"/>
        </w:rPr>
        <w:br/>
        <w:t>wireless charging can help these vehicles operate continuously</w:t>
      </w:r>
      <w:r w:rsidRPr="00632A60">
        <w:rPr>
          <w:rFonts w:ascii="AdvGulliv-R" w:hAnsi="AdvGulliv-R"/>
          <w:color w:val="000000"/>
          <w:sz w:val="28"/>
          <w:szCs w:val="28"/>
        </w:rPr>
        <w:br/>
        <w:t>and enhance regional sustainable mobility in densely populated</w:t>
      </w:r>
      <w:r w:rsidRPr="00632A60">
        <w:rPr>
          <w:rFonts w:ascii="AdvGulliv-R" w:hAnsi="AdvGulliv-R"/>
          <w:color w:val="000000"/>
          <w:sz w:val="28"/>
          <w:szCs w:val="28"/>
        </w:rPr>
        <w:br/>
        <w:t>areas. The Port of Long Beach in Los Angeles, CA is identified as a</w:t>
      </w:r>
      <w:r w:rsidRPr="00632A60">
        <w:rPr>
          <w:rFonts w:ascii="AdvGulliv-R" w:hAnsi="AdvGulliv-R"/>
          <w:color w:val="000000"/>
          <w:sz w:val="28"/>
          <w:szCs w:val="28"/>
        </w:rPr>
        <w:br/>
        <w:t>candidate for such an implementation to combat the pollution</w:t>
      </w:r>
      <w:r w:rsidRPr="00632A60">
        <w:rPr>
          <w:rFonts w:ascii="AdvGulliv-R" w:hAnsi="AdvGulliv-R"/>
          <w:color w:val="000000"/>
          <w:sz w:val="28"/>
          <w:szCs w:val="28"/>
        </w:rPr>
        <w:br/>
        <w:t>and energy consumption related to the intense drayage operations</w:t>
      </w:r>
    </w:p>
    <w:sectPr w:rsidR="00B56F7A" w:rsidRPr="0063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Gulliv-B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dvGulliv-I">
    <w:altName w:val="Times New Roman"/>
    <w:panose1 w:val="00000000000000000000"/>
    <w:charset w:val="00"/>
    <w:family w:val="roman"/>
    <w:notTrueType/>
    <w:pitch w:val="default"/>
  </w:font>
  <w:font w:name="AdvGulliv-R">
    <w:altName w:val="Times New Roman"/>
    <w:panose1 w:val="00000000000000000000"/>
    <w:charset w:val="00"/>
    <w:family w:val="roman"/>
    <w:notTrueType/>
    <w:pitch w:val="default"/>
  </w:font>
  <w:font w:name="CharisSIL-Bold">
    <w:altName w:val="Times New Roman"/>
    <w:panose1 w:val="00000000000000000000"/>
    <w:charset w:val="00"/>
    <w:family w:val="roman"/>
    <w:notTrueType/>
    <w:pitch w:val="default"/>
  </w:font>
  <w:font w:name="CharisSIL-Italic">
    <w:altName w:val="Times New Roman"/>
    <w:panose1 w:val="00000000000000000000"/>
    <w:charset w:val="00"/>
    <w:family w:val="roman"/>
    <w:notTrueType/>
    <w:pitch w:val="default"/>
  </w:font>
  <w:font w:name="CharisS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8E"/>
    <w:rsid w:val="005D1987"/>
    <w:rsid w:val="00632A60"/>
    <w:rsid w:val="00B4468E"/>
    <w:rsid w:val="00B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8399-2170-4F47-8FE8-42835C97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6F7A"/>
    <w:rPr>
      <w:rFonts w:ascii="AdvGulliv-B" w:hAnsi="AdvGulliv-B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B56F7A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anjil</dc:creator>
  <cp:keywords/>
  <dc:description/>
  <cp:lastModifiedBy>anjil</cp:lastModifiedBy>
  <cp:revision>2</cp:revision>
  <dcterms:created xsi:type="dcterms:W3CDTF">2019-12-12T15:12:00Z</dcterms:created>
  <dcterms:modified xsi:type="dcterms:W3CDTF">2019-12-12T15:29:00Z</dcterms:modified>
</cp:coreProperties>
</file>