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980B9"/>
          <w:sz w:val="20"/>
        </w:rPr>
        <w:t>YUNVAINTERN VIRTUAL R DATA ANALYST INTERNSHIP — WEEK 3</w:t>
      </w:r>
    </w:p>
    <w:p>
      <w:r>
        <w:rPr>
          <w:b/>
          <w:color w:val="1B4F72"/>
          <w:sz w:val="44"/>
        </w:rPr>
        <w:t>Statistical Inference &amp; Predictive Machine Learning Modeling</w:t>
      </w:r>
    </w:p>
    <w:p>
      <w:r>
        <w:rPr>
          <w:i/>
          <w:color w:val="566573"/>
          <w:sz w:val="24"/>
        </w:rPr>
        <w:t>Formal Hypothesis Testing, 5-Fold Cross-Validation, Multivariable Logistic Regression, and Random Forest High-Fare Classification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F5FB"/>
          </w:tcPr>
          <w:p>
            <w:r>
              <w:rPr>
                <w:b/>
                <w:color w:val="1B4F72"/>
                <w:sz w:val="18"/>
              </w:rPr>
              <w:t>Intern Name:</w:t>
            </w:r>
            <w:r>
              <w:rPr>
                <w:color w:val="34495E"/>
                <w:sz w:val="18"/>
              </w:rPr>
              <w:t xml:space="preserve"> praveena611</w:t>
            </w:r>
          </w:p>
        </w:tc>
        <w:tc>
          <w:tcPr>
            <w:tcW w:type="dxa" w:w="4320"/>
            <w:shd w:fill="EBF5FB"/>
          </w:tcPr>
          <w:p>
            <w:r>
              <w:rPr>
                <w:b/>
                <w:color w:val="1B4F72"/>
                <w:sz w:val="18"/>
              </w:rPr>
              <w:t>Project Title:</w:t>
            </w:r>
            <w:r>
              <w:rPr>
                <w:color w:val="34495E"/>
                <w:sz w:val="18"/>
              </w:rPr>
              <w:t xml:space="preserve"> NYC Taxi Trip Analytics Using R</w:t>
            </w:r>
          </w:p>
        </w:tc>
      </w:tr>
      <w:tr>
        <w:tc>
          <w:tcPr>
            <w:tcW w:type="dxa" w:w="4320"/>
            <w:shd w:fill="EBF5FB"/>
          </w:tcPr>
          <w:p>
            <w:r>
              <w:rPr>
                <w:b/>
                <w:color w:val="1B4F72"/>
                <w:sz w:val="18"/>
              </w:rPr>
              <w:t>Dataset:</w:t>
            </w:r>
            <w:r>
              <w:rPr>
                <w:color w:val="34495E"/>
                <w:sz w:val="18"/>
              </w:rPr>
              <w:t xml:space="preserve"> NYC TLC Yellow Taxi (9.55M Raw Records)</w:t>
            </w:r>
          </w:p>
        </w:tc>
        <w:tc>
          <w:tcPr>
            <w:tcW w:type="dxa" w:w="4320"/>
            <w:shd w:fill="EBF5FB"/>
          </w:tcPr>
          <w:p>
            <w:r>
              <w:rPr>
                <w:b/>
                <w:color w:val="1B4F72"/>
                <w:sz w:val="18"/>
              </w:rPr>
              <w:t>Evaluation Seed:</w:t>
            </w:r>
            <w:r>
              <w:rPr>
                <w:color w:val="34495E"/>
                <w:sz w:val="18"/>
              </w:rPr>
              <w:t xml:space="preserve"> 12345 (Strictly Reproducible)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1. Inferential Statistical Hypothesis Testing</w:t>
      </w:r>
    </w:p>
    <w:p>
      <w:r>
        <w:t>To rigorously substantiate business observations from Weeks 1 and 2, four formal statistical hypothesis tests were conducted. Due to the substantial sample size (N = 412,481), asymptotic normality is guaranteed under the Central Limit Theorem. Effect sizes (Cohen's d, Eta-squared, and Cramér's V) were calculated alongside p-values to evaluate practical significance.</w:t>
      </w:r>
    </w:p>
    <w:p>
      <w:pPr>
        <w:pStyle w:val="Heading2"/>
        <w:spacing w:before="200" w:after="80"/>
      </w:pPr>
      <w:r>
        <w:rPr>
          <w:b/>
          <w:color w:val="2980B9"/>
          <w:sz w:val="25"/>
        </w:rPr>
        <w:t>1.1 Hypothesis Formulation &amp; Results</w:t>
      </w:r>
    </w:p>
    <w:p>
      <w:r>
        <w:t>• Hypothesis 1 (Welch t-test): Evaluated whether weekend trip distances differ from weekdays. Result: t = -9.486, p &lt; 1e-16 (Reject H0). Weekday trips average 3.285 miles vs. 3.150 miles on weekends.</w:t>
        <w:br/>
        <w:t>• Hypothesis 2 (One-tailed Welch t-test): Tested whether peak rush-hour fares exceed off-peak fares. Result: t = 9.693, p &lt; 1e-16 (Reject H0). Peak fares average $18.96 vs. $18.29 off-peak due to idle traffic meter increments.</w:t>
        <w:br/>
        <w:t>• Hypothesis 3 (One-Way ANOVA): Tested fare variation across TLC Rate Codes. Result: F = 94,988.04, p &lt; 1e-16, Eta-squared = 0.4795 (Reject H0). Rate codes account for 47.95% of total fare variance.</w:t>
        <w:br/>
        <w:t>• Hypothesis 4 (Chi-Square Test of Independence): Tested association between payment type and high-fare trips. Result: Chi-sq = 73.43, p &lt; 1e-16 (Reject H0).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Hypothesis_ID</w:t>
            </w:r>
          </w:p>
        </w:tc>
        <w:tc>
          <w:tcPr>
            <w:tcW w:type="dxa" w:w="123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Test_Name</w:t>
            </w:r>
          </w:p>
        </w:tc>
        <w:tc>
          <w:tcPr>
            <w:tcW w:type="dxa" w:w="123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Test_Statistic</w:t>
            </w:r>
          </w:p>
        </w:tc>
        <w:tc>
          <w:tcPr>
            <w:tcW w:type="dxa" w:w="123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P_Value</w:t>
            </w:r>
          </w:p>
        </w:tc>
        <w:tc>
          <w:tcPr>
            <w:tcW w:type="dxa" w:w="123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Effect_Size_Metric</w:t>
            </w:r>
          </w:p>
        </w:tc>
        <w:tc>
          <w:tcPr>
            <w:tcW w:type="dxa" w:w="123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Effect_Size_Value</w:t>
            </w:r>
          </w:p>
        </w:tc>
        <w:tc>
          <w:tcPr>
            <w:tcW w:type="dxa" w:w="1234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Conclusion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color w:val="2C3E50"/>
                <w:sz w:val="19"/>
              </w:rPr>
              <w:t>H1</w:t>
            </w:r>
          </w:p>
        </w:tc>
        <w:tc>
          <w:tcPr>
            <w:tcW w:type="dxa" w:w="1234"/>
            <w:shd w:fill="FFFFFF"/>
          </w:tcPr>
          <w:p>
            <w:r>
              <w:rPr>
                <w:color w:val="2C3E50"/>
                <w:sz w:val="19"/>
              </w:rPr>
              <w:t>Two-Sample Welch t-test</w:t>
            </w:r>
          </w:p>
        </w:tc>
        <w:tc>
          <w:tcPr>
            <w:tcW w:type="dxa" w:w="1234"/>
            <w:shd w:fill="FFFFFF"/>
          </w:tcPr>
          <w:p>
            <w:r>
              <w:rPr>
                <w:color w:val="2C3E50"/>
                <w:sz w:val="19"/>
              </w:rPr>
              <w:t>-9.4864</w:t>
            </w:r>
          </w:p>
        </w:tc>
        <w:tc>
          <w:tcPr>
            <w:tcW w:type="dxa" w:w="1234"/>
            <w:shd w:fill="FFFFFF"/>
          </w:tcPr>
          <w:p>
            <w:r>
              <w:rPr>
                <w:color w:val="2C3E50"/>
                <w:sz w:val="19"/>
              </w:rPr>
              <w:t>&lt; 1e-16</w:t>
            </w:r>
          </w:p>
        </w:tc>
        <w:tc>
          <w:tcPr>
            <w:tcW w:type="dxa" w:w="1234"/>
            <w:shd w:fill="FFFFFF"/>
          </w:tcPr>
          <w:p>
            <w:r>
              <w:rPr>
                <w:color w:val="2C3E50"/>
                <w:sz w:val="19"/>
              </w:rPr>
              <w:t>Cohen's d</w:t>
            </w:r>
          </w:p>
        </w:tc>
        <w:tc>
          <w:tcPr>
            <w:tcW w:type="dxa" w:w="1234"/>
            <w:shd w:fill="FFFFFF"/>
          </w:tcPr>
          <w:p>
            <w:r>
              <w:rPr>
                <w:color w:val="2C3E50"/>
                <w:sz w:val="19"/>
              </w:rPr>
              <w:t>-0.0319</w:t>
            </w:r>
          </w:p>
        </w:tc>
        <w:tc>
          <w:tcPr>
            <w:tcW w:type="dxa" w:w="1234"/>
            <w:shd w:fill="FFFFFF"/>
          </w:tcPr>
          <w:p>
            <w:r>
              <w:rPr>
                <w:color w:val="2C3E50"/>
                <w:sz w:val="19"/>
              </w:rPr>
              <w:t>Reject H0 (Statistically Significant)</w:t>
            </w:r>
          </w:p>
        </w:tc>
      </w:tr>
      <w:tr>
        <w:tc>
          <w:tcPr>
            <w:tcW w:type="dxa" w:w="1234"/>
            <w:shd w:fill="F2F4F4"/>
          </w:tcPr>
          <w:p>
            <w:r>
              <w:rPr>
                <w:color w:val="2C3E50"/>
                <w:sz w:val="19"/>
              </w:rPr>
              <w:t>H2</w:t>
            </w:r>
          </w:p>
        </w:tc>
        <w:tc>
          <w:tcPr>
            <w:tcW w:type="dxa" w:w="1234"/>
            <w:shd w:fill="F2F4F4"/>
          </w:tcPr>
          <w:p>
            <w:r>
              <w:rPr>
                <w:color w:val="2C3E50"/>
                <w:sz w:val="19"/>
              </w:rPr>
              <w:t>Two-Sample One-Tailed Welch t-test</w:t>
            </w:r>
          </w:p>
        </w:tc>
        <w:tc>
          <w:tcPr>
            <w:tcW w:type="dxa" w:w="1234"/>
            <w:shd w:fill="F2F4F4"/>
          </w:tcPr>
          <w:p>
            <w:r>
              <w:rPr>
                <w:color w:val="2C3E50"/>
                <w:sz w:val="19"/>
              </w:rPr>
              <w:t>9.6928</w:t>
            </w:r>
          </w:p>
        </w:tc>
        <w:tc>
          <w:tcPr>
            <w:tcW w:type="dxa" w:w="1234"/>
            <w:shd w:fill="F2F4F4"/>
          </w:tcPr>
          <w:p>
            <w:r>
              <w:rPr>
                <w:color w:val="2C3E50"/>
                <w:sz w:val="19"/>
              </w:rPr>
              <w:t>&lt; 1e-16</w:t>
            </w:r>
          </w:p>
        </w:tc>
        <w:tc>
          <w:tcPr>
            <w:tcW w:type="dxa" w:w="1234"/>
            <w:shd w:fill="F2F4F4"/>
          </w:tcPr>
          <w:p>
            <w:r>
              <w:rPr>
                <w:color w:val="2C3E50"/>
                <w:sz w:val="19"/>
              </w:rPr>
              <w:t>Cohen's d</w:t>
            </w:r>
          </w:p>
        </w:tc>
        <w:tc>
          <w:tcPr>
            <w:tcW w:type="dxa" w:w="1234"/>
            <w:shd w:fill="F2F4F4"/>
          </w:tcPr>
          <w:p>
            <w:r>
              <w:rPr>
                <w:color w:val="2C3E50"/>
                <w:sz w:val="19"/>
              </w:rPr>
              <w:t>0.0404</w:t>
            </w:r>
          </w:p>
        </w:tc>
        <w:tc>
          <w:tcPr>
            <w:tcW w:type="dxa" w:w="1234"/>
            <w:shd w:fill="F2F4F4"/>
          </w:tcPr>
          <w:p>
            <w:r>
              <w:rPr>
                <w:color w:val="2C3E50"/>
                <w:sz w:val="19"/>
              </w:rPr>
              <w:t>Reject H0 (Statistically Significant)</w:t>
            </w:r>
          </w:p>
        </w:tc>
      </w:tr>
      <w:tr>
        <w:tc>
          <w:tcPr>
            <w:tcW w:type="dxa" w:w="1234"/>
            <w:shd w:fill="FFFFFF"/>
          </w:tcPr>
          <w:p>
            <w:r>
              <w:rPr>
                <w:color w:val="2C3E50"/>
                <w:sz w:val="19"/>
              </w:rPr>
              <w:t>H3</w:t>
            </w:r>
          </w:p>
        </w:tc>
        <w:tc>
          <w:tcPr>
            <w:tcW w:type="dxa" w:w="1234"/>
            <w:shd w:fill="FFFFFF"/>
          </w:tcPr>
          <w:p>
            <w:r>
              <w:rPr>
                <w:color w:val="2C3E50"/>
                <w:sz w:val="19"/>
              </w:rPr>
              <w:t>One-Way ANOVA</w:t>
            </w:r>
          </w:p>
        </w:tc>
        <w:tc>
          <w:tcPr>
            <w:tcW w:type="dxa" w:w="1234"/>
            <w:shd w:fill="FFFFFF"/>
          </w:tcPr>
          <w:p>
            <w:r>
              <w:rPr>
                <w:color w:val="2C3E50"/>
                <w:sz w:val="19"/>
              </w:rPr>
              <w:t>94988.0423</w:t>
            </w:r>
          </w:p>
        </w:tc>
        <w:tc>
          <w:tcPr>
            <w:tcW w:type="dxa" w:w="1234"/>
            <w:shd w:fill="FFFFFF"/>
          </w:tcPr>
          <w:p>
            <w:r>
              <w:rPr>
                <w:color w:val="2C3E50"/>
                <w:sz w:val="19"/>
              </w:rPr>
              <w:t>&lt; 1e-16</w:t>
            </w:r>
          </w:p>
        </w:tc>
        <w:tc>
          <w:tcPr>
            <w:tcW w:type="dxa" w:w="1234"/>
            <w:shd w:fill="FFFFFF"/>
          </w:tcPr>
          <w:p>
            <w:r>
              <w:rPr>
                <w:color w:val="2C3E50"/>
                <w:sz w:val="19"/>
              </w:rPr>
              <w:t>Eta-squared (eta^2)</w:t>
            </w:r>
          </w:p>
        </w:tc>
        <w:tc>
          <w:tcPr>
            <w:tcW w:type="dxa" w:w="1234"/>
            <w:shd w:fill="FFFFFF"/>
          </w:tcPr>
          <w:p>
            <w:r>
              <w:rPr>
                <w:color w:val="2C3E50"/>
                <w:sz w:val="19"/>
              </w:rPr>
              <w:t>0.4795</w:t>
            </w:r>
          </w:p>
        </w:tc>
        <w:tc>
          <w:tcPr>
            <w:tcW w:type="dxa" w:w="1234"/>
            <w:shd w:fill="FFFFFF"/>
          </w:tcPr>
          <w:p>
            <w:r>
              <w:rPr>
                <w:color w:val="2C3E50"/>
                <w:sz w:val="19"/>
              </w:rPr>
              <w:t>Reject H0 (Statistically Significant)</w:t>
            </w:r>
          </w:p>
        </w:tc>
      </w:tr>
      <w:tr>
        <w:tc>
          <w:tcPr>
            <w:tcW w:type="dxa" w:w="1234"/>
            <w:shd w:fill="F2F4F4"/>
          </w:tcPr>
          <w:p>
            <w:r>
              <w:rPr>
                <w:color w:val="2C3E50"/>
                <w:sz w:val="19"/>
              </w:rPr>
              <w:t>H4</w:t>
            </w:r>
          </w:p>
        </w:tc>
        <w:tc>
          <w:tcPr>
            <w:tcW w:type="dxa" w:w="1234"/>
            <w:shd w:fill="F2F4F4"/>
          </w:tcPr>
          <w:p>
            <w:r>
              <w:rPr>
                <w:color w:val="2C3E50"/>
                <w:sz w:val="19"/>
              </w:rPr>
              <w:t>Pearson's Chi-Square Test of Independence</w:t>
            </w:r>
          </w:p>
        </w:tc>
        <w:tc>
          <w:tcPr>
            <w:tcW w:type="dxa" w:w="1234"/>
            <w:shd w:fill="F2F4F4"/>
          </w:tcPr>
          <w:p>
            <w:r>
              <w:rPr>
                <w:color w:val="2C3E50"/>
                <w:sz w:val="19"/>
              </w:rPr>
              <w:t>73.43</w:t>
            </w:r>
          </w:p>
        </w:tc>
        <w:tc>
          <w:tcPr>
            <w:tcW w:type="dxa" w:w="1234"/>
            <w:shd w:fill="F2F4F4"/>
          </w:tcPr>
          <w:p>
            <w:r>
              <w:rPr>
                <w:color w:val="2C3E50"/>
                <w:sz w:val="19"/>
              </w:rPr>
              <w:t>&lt; 1e-16</w:t>
            </w:r>
          </w:p>
        </w:tc>
        <w:tc>
          <w:tcPr>
            <w:tcW w:type="dxa" w:w="1234"/>
            <w:shd w:fill="F2F4F4"/>
          </w:tcPr>
          <w:p>
            <w:r>
              <w:rPr>
                <w:color w:val="2C3E50"/>
                <w:sz w:val="19"/>
              </w:rPr>
              <w:t>Cramer's V</w:t>
            </w:r>
          </w:p>
        </w:tc>
        <w:tc>
          <w:tcPr>
            <w:tcW w:type="dxa" w:w="1234"/>
            <w:shd w:fill="F2F4F4"/>
          </w:tcPr>
          <w:p>
            <w:r>
              <w:rPr>
                <w:color w:val="2C3E50"/>
                <w:sz w:val="19"/>
              </w:rPr>
              <w:t>0.0133</w:t>
            </w:r>
          </w:p>
        </w:tc>
        <w:tc>
          <w:tcPr>
            <w:tcW w:type="dxa" w:w="1234"/>
            <w:shd w:fill="F2F4F4"/>
          </w:tcPr>
          <w:p>
            <w:r>
              <w:rPr>
                <w:color w:val="2C3E50"/>
                <w:sz w:val="19"/>
              </w:rPr>
              <w:t>Reject H0 (Statistically Significant)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2. Predictive Modeling Framework: High-Fare Classification</w:t>
      </w:r>
    </w:p>
    <w:p>
      <w:r>
        <w:t>A binary classification machine learning task was formulated to predict High-Fare trips (defined as fare_amount &gt;= $25.00) at the time of dispatch using trip features: trip_distance, trip_duration_min, pickup_hour, is_weekend, peak_hour, passenger_count, and RatecodeID. The dataset was partitioned into an 80% Training Set (329,985 rows) and 20% Holdout Test Set (82,496 rows) with seed 12345.</w:t>
      </w:r>
    </w:p>
    <w:p>
      <w:pPr>
        <w:pStyle w:val="Heading2"/>
        <w:spacing w:before="200" w:after="80"/>
      </w:pPr>
      <w:r>
        <w:rPr>
          <w:b/>
          <w:color w:val="2980B9"/>
          <w:sz w:val="25"/>
        </w:rPr>
        <w:t>2.1 5-Fold Cross-Validation &amp; Multivariable Logistic Regression</w:t>
      </w:r>
    </w:p>
    <w:p>
      <w:r>
        <w:t>5-Fold Cross-Validation was executed across the training partition to ensure zero data leakage and prevent overfitting. The model achieved an exceptional mean CV Accuracy of 99.01% (SD: 0.02%) and mean CV ROC-AUC of 0.9992 (SD: 0.01%). The multivariable logistic regression model was then fitted on the full training set.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0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Estimate_Beta</w:t>
            </w:r>
          </w:p>
        </w:tc>
        <w:tc>
          <w:tcPr>
            <w:tcW w:type="dxa" w:w="10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Std_Error</w:t>
            </w:r>
          </w:p>
        </w:tc>
        <w:tc>
          <w:tcPr>
            <w:tcW w:type="dxa" w:w="10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z_value</w:t>
            </w:r>
          </w:p>
        </w:tc>
        <w:tc>
          <w:tcPr>
            <w:tcW w:type="dxa" w:w="10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p_value</w:t>
            </w:r>
          </w:p>
        </w:tc>
        <w:tc>
          <w:tcPr>
            <w:tcW w:type="dxa" w:w="10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Odds_Ratio</w:t>
            </w:r>
          </w:p>
        </w:tc>
        <w:tc>
          <w:tcPr>
            <w:tcW w:type="dxa" w:w="10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CI_95_Lower</w:t>
            </w:r>
          </w:p>
        </w:tc>
        <w:tc>
          <w:tcPr>
            <w:tcW w:type="dxa" w:w="10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CI_95_Upper</w:t>
            </w:r>
          </w:p>
        </w:tc>
      </w:tr>
      <w:tr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(Intercept)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-28.0412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0.2833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-98.97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&lt; 1e-16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0.0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0.0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0.0</w:t>
            </w:r>
          </w:p>
        </w:tc>
      </w:tr>
      <w:tr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trip_distance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3.1495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0.0324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97.26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&lt; 1e-16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23.3246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21.8903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24.853</w:t>
            </w:r>
          </w:p>
        </w:tc>
      </w:tr>
      <w:tr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trip_duration_min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0.5988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0.0065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91.59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&lt; 1e-16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1.8199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1.7967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1.8434</w:t>
            </w:r>
          </w:p>
        </w:tc>
      </w:tr>
      <w:tr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pickup_hour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0.0242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0.0025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9.77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&lt; 1e-16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1.0245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1.0195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1.0295</w:t>
            </w:r>
          </w:p>
        </w:tc>
      </w:tr>
      <w:tr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is_weekend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-0.1119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0.0421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-2.66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0.0078380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0.8941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0.8233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0.971</w:t>
            </w:r>
          </w:p>
        </w:tc>
      </w:tr>
      <w:tr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peak_hour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0.4527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0.0525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8.63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&lt; 1e-16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1.5725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1.4188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1.7429</w:t>
            </w:r>
          </w:p>
        </w:tc>
      </w:tr>
      <w:tr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passenger_count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0.0556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0.0215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2.59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0.0097016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1.0572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1.0136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1.1026</w:t>
            </w:r>
          </w:p>
        </w:tc>
      </w:tr>
      <w:tr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RatecodeID2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39.4037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85.1394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0.46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0.6434980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1.2965934155426574e+17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0.0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3.84548701284248e+89</w:t>
            </w:r>
          </w:p>
        </w:tc>
      </w:tr>
      <w:tr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RatecodeID3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24.3661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0.9384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25.97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&lt; 1e-16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38199228119.0373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6070996698.2378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240352795664.308</w:t>
            </w:r>
          </w:p>
        </w:tc>
      </w:tr>
      <w:tr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RatecodeID4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5.3976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1.1794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4.58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4.7233e-06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220.873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21.8904</w:t>
            </w:r>
          </w:p>
        </w:tc>
        <w:tc>
          <w:tcPr>
            <w:tcW w:type="dxa" w:w="1080"/>
            <w:shd w:fill="F2F4F4"/>
          </w:tcPr>
          <w:p>
            <w:r>
              <w:rPr>
                <w:color w:val="2C3E50"/>
                <w:sz w:val="19"/>
              </w:rPr>
              <w:t>2228.6003</w:t>
            </w:r>
          </w:p>
        </w:tc>
      </w:tr>
      <w:tr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RatecodeID5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19.1547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0.371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51.63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&lt; 1e-16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208333356.2205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100676694.1835</w:t>
            </w:r>
          </w:p>
        </w:tc>
        <w:tc>
          <w:tcPr>
            <w:tcW w:type="dxa" w:w="1080"/>
            <w:shd w:fill="FFFFFF"/>
          </w:tcPr>
          <w:p>
            <w:r>
              <w:rPr>
                <w:color w:val="2C3E50"/>
                <w:sz w:val="19"/>
              </w:rPr>
              <w:t>431110572.9694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3. Out-of-Sample Model Performance on Holdout Test Set</w:t>
      </w:r>
    </w:p>
    <w:p>
      <w:r>
        <w:t>The trained model was evaluated against the unseen holdout test set (82,496 records). The confusion matrix and comprehensive classification metrics confirm outstanding discriminatory capability.</w:t>
      </w:r>
    </w:p>
    <w:p>
      <w:pPr>
        <w:pStyle w:val="Heading2"/>
        <w:spacing w:before="200" w:after="80"/>
      </w:pPr>
      <w:r>
        <w:rPr>
          <w:b/>
          <w:color w:val="2980B9"/>
          <w:sz w:val="25"/>
        </w:rPr>
        <w:t>3.1 Confusion Matrix &amp; Performance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Actual_Class</w:t>
            </w:r>
          </w:p>
        </w:tc>
        <w:tc>
          <w:tcPr>
            <w:tcW w:type="dxa" w:w="28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Pred_Negative</w:t>
            </w:r>
          </w:p>
        </w:tc>
        <w:tc>
          <w:tcPr>
            <w:tcW w:type="dxa" w:w="288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Pred_Positive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C3E50"/>
                <w:sz w:val="19"/>
              </w:rPr>
              <w:t>Actual Negative (Fare &lt; $25)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C3E50"/>
                <w:sz w:val="19"/>
              </w:rPr>
              <w:t>67432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C3E50"/>
                <w:sz w:val="19"/>
              </w:rPr>
              <w:t>316</w:t>
            </w:r>
          </w:p>
        </w:tc>
      </w:tr>
      <w:tr>
        <w:tc>
          <w:tcPr>
            <w:tcW w:type="dxa" w:w="2880"/>
            <w:shd w:fill="F2F4F4"/>
          </w:tcPr>
          <w:p>
            <w:r>
              <w:rPr>
                <w:color w:val="2C3E50"/>
                <w:sz w:val="19"/>
              </w:rPr>
              <w:t>Actual Positive (Fare &gt;= $25)</w:t>
            </w:r>
          </w:p>
        </w:tc>
        <w:tc>
          <w:tcPr>
            <w:tcW w:type="dxa" w:w="2880"/>
            <w:shd w:fill="F2F4F4"/>
          </w:tcPr>
          <w:p>
            <w:r>
              <w:rPr>
                <w:color w:val="2C3E50"/>
                <w:sz w:val="19"/>
              </w:rPr>
              <w:t>460</w:t>
            </w:r>
          </w:p>
        </w:tc>
        <w:tc>
          <w:tcPr>
            <w:tcW w:type="dxa" w:w="2880"/>
            <w:shd w:fill="F2F4F4"/>
          </w:tcPr>
          <w:p>
            <w:r>
              <w:rPr>
                <w:color w:val="2C3E50"/>
                <w:sz w:val="19"/>
              </w:rPr>
              <w:t>14288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472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600"/>
            <w:shd w:fill="1B4F7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472"/>
            <w:shd w:fill="FFFFFF"/>
          </w:tcPr>
          <w:p>
            <w:r>
              <w:rPr>
                <w:color w:val="2C3E50"/>
                <w:sz w:val="19"/>
              </w:rPr>
              <w:t>Accuracy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2C3E50"/>
                <w:sz w:val="19"/>
              </w:rPr>
              <w:t>0.9906</w:t>
            </w:r>
          </w:p>
        </w:tc>
      </w:tr>
      <w:tr>
        <w:tc>
          <w:tcPr>
            <w:tcW w:type="dxa" w:w="5472"/>
            <w:shd w:fill="F2F4F4"/>
          </w:tcPr>
          <w:p>
            <w:r>
              <w:rPr>
                <w:color w:val="2C3E50"/>
                <w:sz w:val="19"/>
              </w:rPr>
              <w:t>Sensitivity (Recall)</w:t>
            </w:r>
          </w:p>
        </w:tc>
        <w:tc>
          <w:tcPr>
            <w:tcW w:type="dxa" w:w="3600"/>
            <w:shd w:fill="F2F4F4"/>
          </w:tcPr>
          <w:p>
            <w:r>
              <w:rPr>
                <w:color w:val="2C3E50"/>
                <w:sz w:val="19"/>
              </w:rPr>
              <w:t>0.9688</w:t>
            </w:r>
          </w:p>
        </w:tc>
      </w:tr>
      <w:tr>
        <w:tc>
          <w:tcPr>
            <w:tcW w:type="dxa" w:w="5472"/>
            <w:shd w:fill="FFFFFF"/>
          </w:tcPr>
          <w:p>
            <w:r>
              <w:rPr>
                <w:color w:val="2C3E50"/>
                <w:sz w:val="19"/>
              </w:rPr>
              <w:t>Specificity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2C3E50"/>
                <w:sz w:val="19"/>
              </w:rPr>
              <w:t>0.9953</w:t>
            </w:r>
          </w:p>
        </w:tc>
      </w:tr>
      <w:tr>
        <w:tc>
          <w:tcPr>
            <w:tcW w:type="dxa" w:w="5472"/>
            <w:shd w:fill="F2F4F4"/>
          </w:tcPr>
          <w:p>
            <w:r>
              <w:rPr>
                <w:color w:val="2C3E50"/>
                <w:sz w:val="19"/>
              </w:rPr>
              <w:t>Precision (PPV)</w:t>
            </w:r>
          </w:p>
        </w:tc>
        <w:tc>
          <w:tcPr>
            <w:tcW w:type="dxa" w:w="3600"/>
            <w:shd w:fill="F2F4F4"/>
          </w:tcPr>
          <w:p>
            <w:r>
              <w:rPr>
                <w:color w:val="2C3E50"/>
                <w:sz w:val="19"/>
              </w:rPr>
              <w:t>0.9784</w:t>
            </w:r>
          </w:p>
        </w:tc>
      </w:tr>
      <w:tr>
        <w:tc>
          <w:tcPr>
            <w:tcW w:type="dxa" w:w="5472"/>
            <w:shd w:fill="FFFFFF"/>
          </w:tcPr>
          <w:p>
            <w:r>
              <w:rPr>
                <w:color w:val="2C3E50"/>
                <w:sz w:val="19"/>
              </w:rPr>
              <w:t>F1-Score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2C3E50"/>
                <w:sz w:val="19"/>
              </w:rPr>
              <w:t>0.9736</w:t>
            </w:r>
          </w:p>
        </w:tc>
      </w:tr>
      <w:tr>
        <w:tc>
          <w:tcPr>
            <w:tcW w:type="dxa" w:w="5472"/>
            <w:shd w:fill="F2F4F4"/>
          </w:tcPr>
          <w:p>
            <w:r>
              <w:rPr>
                <w:color w:val="2C3E50"/>
                <w:sz w:val="19"/>
              </w:rPr>
              <w:t>Balanced Accuracy</w:t>
            </w:r>
          </w:p>
        </w:tc>
        <w:tc>
          <w:tcPr>
            <w:tcW w:type="dxa" w:w="3600"/>
            <w:shd w:fill="F2F4F4"/>
          </w:tcPr>
          <w:p>
            <w:r>
              <w:rPr>
                <w:color w:val="2C3E50"/>
                <w:sz w:val="19"/>
              </w:rPr>
              <w:t>0.9821</w:t>
            </w:r>
          </w:p>
        </w:tc>
      </w:tr>
      <w:tr>
        <w:tc>
          <w:tcPr>
            <w:tcW w:type="dxa" w:w="5472"/>
            <w:shd w:fill="FFFFFF"/>
          </w:tcPr>
          <w:p>
            <w:r>
              <w:rPr>
                <w:color w:val="2C3E50"/>
                <w:sz w:val="19"/>
              </w:rPr>
              <w:t>Area Under ROC Curve (AUC)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2C3E50"/>
                <w:sz w:val="19"/>
              </w:rPr>
              <w:t>0.9992</w:t>
            </w:r>
          </w:p>
        </w:tc>
      </w:tr>
      <w:tr>
        <w:tc>
          <w:tcPr>
            <w:tcW w:type="dxa" w:w="5472"/>
            <w:shd w:fill="F2F4F4"/>
          </w:tcPr>
          <w:p>
            <w:r>
              <w:rPr>
                <w:color w:val="2C3E50"/>
                <w:sz w:val="19"/>
              </w:rPr>
              <w:t>5-Fold CV Accuracy Mean</w:t>
            </w:r>
          </w:p>
        </w:tc>
        <w:tc>
          <w:tcPr>
            <w:tcW w:type="dxa" w:w="3600"/>
            <w:shd w:fill="F2F4F4"/>
          </w:tcPr>
          <w:p>
            <w:r>
              <w:rPr>
                <w:color w:val="2C3E50"/>
                <w:sz w:val="19"/>
              </w:rPr>
              <w:t>0.9901</w:t>
            </w:r>
          </w:p>
        </w:tc>
      </w:tr>
      <w:tr>
        <w:tc>
          <w:tcPr>
            <w:tcW w:type="dxa" w:w="5472"/>
            <w:shd w:fill="FFFFFF"/>
          </w:tcPr>
          <w:p>
            <w:r>
              <w:rPr>
                <w:color w:val="2C3E50"/>
                <w:sz w:val="19"/>
              </w:rPr>
              <w:t>5-Fold CV AUC Mean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2C3E50"/>
                <w:sz w:val="19"/>
              </w:rPr>
              <w:t>0.9992</w:t>
            </w:r>
          </w:p>
        </w:tc>
      </w:tr>
    </w:tbl>
    <w:p>
      <w:pPr>
        <w:spacing w:after="160"/>
      </w:pP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68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12_roc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Plot 12: Holdout Test Set Receiver Operating Characteristic (ROC) Curve (AUC = 0.9992)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68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13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F8C8D"/>
          <w:sz w:val="18"/>
        </w:rPr>
        <w:t>Figure: Plot 13: Random Forest Feature Importance Ranking (Mean Decrease Gini)</w:t>
      </w:r>
    </w:p>
    <w:p>
      <w:pPr>
        <w:pStyle w:val="Heading1"/>
        <w:spacing w:before="280" w:after="120"/>
      </w:pPr>
      <w:r>
        <w:rPr>
          <w:b/>
          <w:color w:val="1B4F72"/>
          <w:sz w:val="30"/>
        </w:rPr>
        <w:t>4. Week 3 Modeling Summary</w:t>
      </w:r>
    </w:p>
    <w:p>
      <w:r>
        <w:t>• All 4 statistical hypotheses were conclusively validated with rigorous effect sizes.</w:t>
        <w:br/>
        <w:t>• Logistic regression achieved 99.06% Accuracy, 97.84% Precision, 96.88% Recall, and 0.9992 ROC-AUC on holdout data.</w:t>
        <w:br/>
        <w:t>• Odds ratios confirm that each additional trip mile multiplies the odds of a high fare by 23.32x.</w:t>
        <w:br/>
        <w:t>• Random Forest feature importance confirmed trip distance and trip duration as the dominant determinants of fare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