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RETAIL SALES ANALYTICS</w:t>
      </w:r>
    </w:p>
    <w:p>
      <w:pPr>
        <w:spacing w:after="200"/>
      </w:pPr>
      <w:r>
        <w:rPr>
          <w:i/>
          <w:iCs/>
          <w:color w:val="595959"/>
          <w:sz w:val="24"/>
          <w:szCs w:val="24"/>
        </w:rPr>
        <w:t xml:space="preserve">Executive Summary</w:t>
      </w:r>
    </w:p>
    <w:p>
      <w:pPr>
        <w:spacing w:after="260"/>
      </w:pPr>
      <w:r>
        <w:rPr>
          <w:color w:val="595959"/>
          <w:sz w:val="18"/>
          <w:szCs w:val="18"/>
        </w:rPr>
        <w:t xml:space="preserve">Prepared by Praveen Bandaru  |  Dataset: 18,484 customers · 295 products · 60,398 transactions</w:t>
      </w:r>
    </w:p>
    <w:p>
      <w:pPr>
        <w:pStyle w:val="Heading1"/>
        <w:pBdr>
          <w:bottom w:val="single" w:color="1F3864" w:sz="6" w:space="4"/>
        </w:pBdr>
        <w:spacing w:after="140" w:before="320"/>
      </w:pPr>
      <w:r>
        <w:rPr>
          <w:b/>
          <w:bCs/>
          <w:color w:val="1F3864"/>
          <w:sz w:val="26"/>
          <w:szCs w:val="26"/>
        </w:rPr>
        <w:t xml:space="preserve">Business Context</w:t>
      </w:r>
    </w:p>
    <w:p>
      <w:pPr>
        <w:spacing w:after="160" w:line="288"/>
      </w:pPr>
      <w:r>
        <w:rPr>
          <w:sz w:val="22"/>
          <w:szCs w:val="22"/>
        </w:rPr>
        <w:t xml:space="preserve">The business lacked a consolidated view connecting customer demographics, product performance, and sales trends, making it difficult to allocate marketing spend, plan inventory, or prioritize growth initiatives with confidence. This analysis builds that view end-to-end — from raw transactional data to statistically validated, decision-ready recommendations.</w:t>
      </w:r>
    </w:p>
    <w:p>
      <w:pPr>
        <w:pStyle w:val="Heading1"/>
        <w:pBdr>
          <w:bottom w:val="single" w:color="1F3864" w:sz="6" w:space="4"/>
        </w:pBdr>
        <w:spacing w:after="140" w:before="320"/>
      </w:pPr>
      <w:r>
        <w:rPr>
          <w:b/>
          <w:bCs/>
          <w:color w:val="1F3864"/>
          <w:sz w:val="26"/>
          <w:szCs w:val="26"/>
        </w:rPr>
        <w:t xml:space="preserve">Key Performance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pct" w:w="25%"/>
            <w:shd w:fill="F2F2F2" w:val="clear"/>
            <w:tcMar>
              <w:top w:type="dxa" w:w="160"/>
              <w:left w:type="dxa" w:w="120"/>
              <w:bottom w:type="dxa" w:w="160"/>
              <w:right w:type="dxa" w:w="120"/>
            </w:tcMar>
            <w:vAlign w:val="center"/>
          </w:tcPr>
          <w:p>
            <w:pPr>
              <w:spacing w:after="40"/>
              <w:jc w:val="center"/>
            </w:pPr>
            <w:r>
              <w:rPr>
                <w:b/>
                <w:bCs/>
                <w:color w:val="1F3864"/>
                <w:sz w:val="26"/>
                <w:szCs w:val="26"/>
              </w:rPr>
              <w:t xml:space="preserve">$29.36M</w:t>
            </w:r>
          </w:p>
          <w:p>
            <w:pPr>
              <w:jc w:val="center"/>
            </w:pPr>
            <w:r>
              <w:rPr>
                <w:color w:val="595959"/>
                <w:sz w:val="16"/>
                <w:szCs w:val="16"/>
              </w:rPr>
              <w:t xml:space="preserve">Total Revenue</w:t>
            </w:r>
          </w:p>
        </w:tc>
        <w:tc>
          <w:tcPr>
            <w:tcW w:type="pct" w:w="25%"/>
            <w:shd w:fill="F2F2F2" w:val="clear"/>
            <w:tcMar>
              <w:top w:type="dxa" w:w="160"/>
              <w:left w:type="dxa" w:w="120"/>
              <w:bottom w:type="dxa" w:w="160"/>
              <w:right w:type="dxa" w:w="120"/>
            </w:tcMar>
            <w:vAlign w:val="center"/>
          </w:tcPr>
          <w:p>
            <w:pPr>
              <w:spacing w:after="40"/>
              <w:jc w:val="center"/>
            </w:pPr>
            <w:r>
              <w:rPr>
                <w:b/>
                <w:bCs/>
                <w:color w:val="1F3864"/>
                <w:sz w:val="26"/>
                <w:szCs w:val="26"/>
              </w:rPr>
              <w:t xml:space="preserve">27,659</w:t>
            </w:r>
          </w:p>
          <w:p>
            <w:pPr>
              <w:jc w:val="center"/>
            </w:pPr>
            <w:r>
              <w:rPr>
                <w:color w:val="595959"/>
                <w:sz w:val="16"/>
                <w:szCs w:val="16"/>
              </w:rPr>
              <w:t xml:space="preserve">Total Orders</w:t>
            </w:r>
          </w:p>
        </w:tc>
        <w:tc>
          <w:tcPr>
            <w:tcW w:type="pct" w:w="25%"/>
            <w:shd w:fill="F2F2F2" w:val="clear"/>
            <w:tcMar>
              <w:top w:type="dxa" w:w="160"/>
              <w:left w:type="dxa" w:w="120"/>
              <w:bottom w:type="dxa" w:w="160"/>
              <w:right w:type="dxa" w:w="120"/>
            </w:tcMar>
            <w:vAlign w:val="center"/>
          </w:tcPr>
          <w:p>
            <w:pPr>
              <w:spacing w:after="40"/>
              <w:jc w:val="center"/>
            </w:pPr>
            <w:r>
              <w:rPr>
                <w:b/>
                <w:bCs/>
                <w:color w:val="1F3864"/>
                <w:sz w:val="26"/>
                <w:szCs w:val="26"/>
              </w:rPr>
              <w:t xml:space="preserve">$1,061</w:t>
            </w:r>
          </w:p>
          <w:p>
            <w:pPr>
              <w:jc w:val="center"/>
            </w:pPr>
            <w:r>
              <w:rPr>
                <w:color w:val="595959"/>
                <w:sz w:val="16"/>
                <w:szCs w:val="16"/>
              </w:rPr>
              <w:t xml:space="preserve">Avg Order Value</w:t>
            </w:r>
          </w:p>
        </w:tc>
        <w:tc>
          <w:tcPr>
            <w:tcW w:type="pct" w:w="25%"/>
            <w:shd w:fill="F2F2F2" w:val="clear"/>
            <w:tcMar>
              <w:top w:type="dxa" w:w="160"/>
              <w:left w:type="dxa" w:w="120"/>
              <w:bottom w:type="dxa" w:w="160"/>
              <w:right w:type="dxa" w:w="120"/>
            </w:tcMar>
            <w:vAlign w:val="center"/>
          </w:tcPr>
          <w:p>
            <w:pPr>
              <w:spacing w:after="40"/>
              <w:jc w:val="center"/>
            </w:pPr>
            <w:r>
              <w:rPr>
                <w:b/>
                <w:bCs/>
                <w:color w:val="1F3864"/>
                <w:sz w:val="26"/>
                <w:szCs w:val="26"/>
              </w:rPr>
              <w:t xml:space="preserve">37.1%</w:t>
            </w:r>
          </w:p>
          <w:p>
            <w:pPr>
              <w:jc w:val="center"/>
            </w:pPr>
            <w:r>
              <w:rPr>
                <w:color w:val="595959"/>
                <w:sz w:val="16"/>
                <w:szCs w:val="16"/>
              </w:rPr>
              <w:t xml:space="preserve">Repeat Purchase Rate</w:t>
            </w:r>
          </w:p>
        </w:tc>
      </w:tr>
    </w:tbl>
    <w:p>
      <w:pPr>
        <w:spacing w:before="200"/>
      </w:pPr>
    </w:p>
    <w:p>
      <w:pPr>
        <w:pStyle w:val="Heading1"/>
        <w:pBdr>
          <w:bottom w:val="single" w:color="1F3864" w:sz="6" w:space="4"/>
        </w:pBdr>
        <w:spacing w:after="140" w:before="320"/>
      </w:pPr>
      <w:r>
        <w:rPr>
          <w:b/>
          <w:bCs/>
          <w:color w:val="1F3864"/>
          <w:sz w:val="26"/>
          <w:szCs w:val="26"/>
        </w:rPr>
        <w:t xml:space="preserve">Key Findings</w:t>
      </w:r>
    </w:p>
    <w:p>
      <w:pPr>
        <w:pStyle w:val="ListParagraph"/>
        <w:numPr>
          <w:ilvl w:val="0"/>
          <w:numId w:val="2"/>
        </w:numPr>
        <w:spacing w:after="100" w:line="276"/>
      </w:pPr>
      <w:r>
        <w:rPr>
          <w:sz w:val="22"/>
          <w:szCs w:val="22"/>
        </w:rPr>
        <w:t xml:space="preserve">Revenue is concentrated in two markets and two products. US and Australia together generate 62% of total revenue; the Mountain-200 and Road-150 product lines alone account for over 44% of sales. Bikes as a category drive 96.5% of all revenue.</w:t>
      </w:r>
    </w:p>
    <w:p>
      <w:pPr>
        <w:pStyle w:val="ListParagraph"/>
        <w:numPr>
          <w:ilvl w:val="0"/>
          <w:numId w:val="2"/>
        </w:numPr>
        <w:spacing w:after="100" w:line="276"/>
      </w:pPr>
      <w:r>
        <w:rPr>
          <w:sz w:val="22"/>
          <w:szCs w:val="22"/>
        </w:rPr>
        <w:t xml:space="preserve">Category mix is consistent worldwide. The relative split between Bikes, Accessories, and Clothing holds steady across every country in the dataset — there is no evidence of market-specific buying behavior that would require a localized strategy.</w:t>
      </w:r>
    </w:p>
    <w:p>
      <w:pPr>
        <w:pStyle w:val="ListParagraph"/>
        <w:numPr>
          <w:ilvl w:val="0"/>
          <w:numId w:val="2"/>
        </w:numPr>
        <w:spacing w:after="100" w:line="276"/>
      </w:pPr>
      <w:r>
        <w:rPr>
          <w:sz w:val="22"/>
          <w:szCs w:val="22"/>
        </w:rPr>
        <w:t xml:space="preserve">Customer age does not predict individual spend. A chart of total revenue by age group appeared to show older customers spending more — but hypothesis testing found the individual-level correlation between age and spend is effectively zero (r = -0.037). The group-level pattern was driven by the number of customers in each age bracket, not by any real behavioral difference. This finding overturned an initial recommendation to shift marketing budget toward older demographics.</w:t>
      </w:r>
    </w:p>
    <w:p>
      <w:pPr>
        <w:pStyle w:val="Heading1"/>
        <w:pBdr>
          <w:bottom w:val="single" w:color="1F3864" w:sz="6" w:space="4"/>
        </w:pBdr>
        <w:spacing w:after="140" w:before="320"/>
      </w:pPr>
      <w:r>
        <w:rPr>
          <w:b/>
          <w:bCs/>
          <w:color w:val="1F3864"/>
          <w:sz w:val="26"/>
          <w:szCs w:val="26"/>
        </w:rPr>
        <w:t xml:space="preserve">Recommendations</w:t>
      </w:r>
    </w:p>
    <w:p>
      <w:pPr>
        <w:pStyle w:val="ListParagraph"/>
        <w:numPr>
          <w:ilvl w:val="0"/>
          <w:numId w:val="2"/>
        </w:numPr>
        <w:spacing w:after="100" w:line="276"/>
      </w:pPr>
      <w:r>
        <w:rPr>
          <w:sz w:val="22"/>
          <w:szCs w:val="22"/>
        </w:rPr>
        <w:t xml:space="preserve">Treat the Bikes category and the US/Australia markets as the core revenue base, but track this concentration as a risk: a single category and two markets driving this much revenue warrants a deliberate diversification review for Accessories and Clothing.</w:t>
      </w:r>
    </w:p>
    <w:p>
      <w:pPr>
        <w:pStyle w:val="ListParagraph"/>
        <w:numPr>
          <w:ilvl w:val="0"/>
          <w:numId w:val="2"/>
        </w:numPr>
        <w:spacing w:after="100" w:line="276"/>
      </w:pPr>
      <w:r>
        <w:rPr>
          <w:sz w:val="22"/>
          <w:szCs w:val="22"/>
        </w:rPr>
        <w:t xml:space="preserve">Run cross-sell and bundling campaigns as a single global initiative rather than building market-specific versions — the consistent category mix across countries means one strategy will generalize, saving design and testing effort.</w:t>
      </w:r>
    </w:p>
    <w:p>
      <w:pPr>
        <w:pStyle w:val="ListParagraph"/>
        <w:numPr>
          <w:ilvl w:val="0"/>
          <w:numId w:val="2"/>
        </w:numPr>
        <w:spacing w:after="100" w:line="276"/>
      </w:pPr>
      <w:r>
        <w:rPr>
          <w:sz w:val="22"/>
          <w:szCs w:val="22"/>
        </w:rPr>
        <w:t xml:space="preserve">Do not reallocate marketing budget by customer age — the data does not support it. Prioritize testing alternative segmentation variables (purchase frequency, category affinity, order recency) that are more likely to carry real predictive signal.</w:t>
      </w:r>
    </w:p>
    <w:p>
      <w:pPr>
        <w:pStyle w:val="ListParagraph"/>
        <w:numPr>
          <w:ilvl w:val="0"/>
          <w:numId w:val="2"/>
        </w:numPr>
        <w:spacing w:after="100" w:line="276"/>
      </w:pPr>
      <w:r>
        <w:rPr>
          <w:sz w:val="22"/>
          <w:szCs w:val="22"/>
        </w:rPr>
        <w:t xml:space="preserve">With a 37.1% repeat purchase rate and a $1,061 average order value, invest in retention mechanics (post-first-purchase re-engagement, loyalty incentives) — modeled testing here is likely to show a clearer return than broad demographic targeting.</w:t>
      </w:r>
    </w:p>
    <w:p>
      <w:pPr>
        <w:pStyle w:val="Heading1"/>
        <w:pBdr>
          <w:bottom w:val="single" w:color="1F3864" w:sz="6" w:space="4"/>
        </w:pBdr>
        <w:spacing w:after="140" w:before="320"/>
      </w:pPr>
      <w:r>
        <w:rPr>
          <w:b/>
          <w:bCs/>
          <w:color w:val="1F3864"/>
          <w:sz w:val="26"/>
          <w:szCs w:val="26"/>
        </w:rPr>
        <w:t xml:space="preserve">Methodology Note</w:t>
      </w:r>
    </w:p>
    <w:p>
      <w:pPr>
        <w:spacing w:after="160" w:line="288"/>
      </w:pPr>
      <w:r>
        <w:rPr>
          <w:sz w:val="22"/>
          <w:szCs w:val="22"/>
        </w:rPr>
        <w:t xml:space="preserve">Findings were validated using hypothesis testing (t-tests, ANOVA, chi-square) and confidence intervals rather than relying on visual chart impressions alone — the age/spend finding above is a direct example of why that check matters. Full SQL queries, cleaning logic, and statistical tests are available in the project repository.</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2026-07-22T08:34:38.323Z</dcterms:created>
  <dcterms:modified xsi:type="dcterms:W3CDTF">2026-07-22T08:34:38.337Z</dcterms:modified>
</cp:coreProperties>
</file>

<file path=docProps/custom.xml><?xml version="1.0" encoding="utf-8"?>
<Properties xmlns="http://schemas.openxmlformats.org/officeDocument/2006/custom-properties" xmlns:vt="http://schemas.openxmlformats.org/officeDocument/2006/docPropsVTypes"/>
</file>