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SKB-DOC-05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Data Architecture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SKB-DOC-05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Topology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One PostgreSQL server, one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per service</w:t>
      </w:r>
      <w:r>
        <w:rPr>
          <w:rFonts w:ascii="Calibri" w:cs="Calibri" w:eastAsia="Calibri" w:hAnsi="Calibri"/>
          <w:sz w:val="22"/>
          <w:szCs w:val="22"/>
        </w:rPr>
        <w:t xml:space="preserve">, initialised by the multi-database init script at first container start: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aggregates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skybook_auth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users (roles, preferences), service clients, reset tokens, SSO links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skybook_flight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airlines, aircraft (+cabin configs), flights (~440k rows, terminals), schedules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skybook_inventory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 maps, seat state, holds (TTL), reservations, seat pricing tiers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skybook_booking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bookings, booking_segments, booking_passengers, passengers, tickets, ticket_coupons, booking_payments (mirror), fare_alerts, history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skybook_payment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payments, refunds, invoices, payment history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skybook_checkin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check_ins, boarding_passes, baggage, manifests, history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Non-negotiable rules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cross-database access.</w:t>
      </w:r>
      <w:r>
        <w:rPr>
          <w:rFonts w:ascii="Calibri" w:cs="Calibri" w:eastAsia="Calibri" w:hAnsi="Calibri"/>
          <w:sz w:val="22"/>
          <w:szCs w:val="22"/>
        </w:rPr>
        <w:t xml:space="preserve"> A service reads and writes its own database only. Cross-service data needs are met by events (read-models) or synchronous APIs — never by a foreign JDBC URL, view, or FDW.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IDs cross boundaries, rows do not.</w:t>
      </w:r>
      <w:r>
        <w:rPr>
          <w:rFonts w:ascii="Calibri" w:cs="Calibri" w:eastAsia="Calibri" w:hAnsi="Calibri"/>
          <w:sz w:val="22"/>
          <w:szCs w:val="22"/>
        </w:rPr>
        <w:t xml:space="preserve"> Other services store foreign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identifiers</w:t>
      </w:r>
      <w:r>
        <w:rPr>
          <w:rFonts w:ascii="Calibri" w:cs="Calibri" w:eastAsia="Calibri" w:hAnsi="Calibri"/>
          <w:sz w:val="22"/>
          <w:szCs w:val="22"/>
        </w:rPr>
        <w:t xml:space="preserve"> (bookingId, flightId, bookingPassengerId) plus the snapshot fields they were given by event or API at the time — denormalisation by snapshot is the intended pattern (e.g. check-in snapshots flight facts and terminals; payment snapshots the fare breakdown).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writer</w:t>
      </w:r>
      <w:r>
        <w:rPr>
          <w:rFonts w:ascii="Calibri" w:cs="Calibri" w:eastAsia="Calibri" w:hAnsi="Calibri"/>
          <w:sz w:val="22"/>
          <w:szCs w:val="22"/>
        </w:rPr>
        <w:t xml:space="preserve"> (SKB-DOC-02 rule 1). Read-models (like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BookingPassenger.checkInStatus</w:t>
      </w:r>
      <w:r>
        <w:rPr>
          <w:rFonts w:ascii="Calibri" w:cs="Calibri" w:eastAsia="Calibri" w:hAnsi="Calibri"/>
          <w:sz w:val="22"/>
          <w:szCs w:val="22"/>
        </w:rPr>
        <w:t xml:space="preserve">/seat mirrored from check-in events) are updated only by their designated consumer and treated as eventually consistent — guards that depend on them must state so in their LLD.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State machines (binding value sets)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enum values below are wire- and database-contract. Additions follow SKB-DOC-04 §5.4; renames are forbidden.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Aggregate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States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 → CREATED → CONFIRMED → COMPLETED; → CANCELLED; derived PARTIALLY_CANCELLED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BookingStateMachine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(illegal transitions throw)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 (payment-svc)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→ AUTHORIZED → CAPTURED → PARTIALLY_REFUNDED → REFUNDED; AUTHORIZATION_FAILED, CAPTURE_FAILED, CANCELLED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PaymentValidator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+ state machine;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refundedAmount ≤ capturedAmount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under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@Version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 mirror (booking-svc)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PENDING, PAID, REFUNDED (+stays PAID on forfeiture)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 state machine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Check-in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NOT_OPEN → OPEN → CHECKED_IN → BOARDED; NO_SHOW; CANCELLED; CLOSED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CheckInStateMachine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terminal states have no exits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Ticket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 → REFUNDED / CANCELLED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Coupon-derived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Coupon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→ CHECKED_IN → FLOWN; → CANCELLED / REFUNDED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FLOWN is immutable history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→ HELD (TTL) → RESERVED → released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Inventory, atomically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Schema change policy (Flyway)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Migrations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append-only</w:t>
      </w:r>
      <w:r>
        <w:rPr>
          <w:rFonts w:ascii="Calibri" w:cs="Calibri" w:eastAsia="Calibri" w:hAnsi="Calibri"/>
          <w:sz w:val="22"/>
          <w:szCs w:val="22"/>
        </w:rPr>
        <w:t xml:space="preserve">: a merged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V&lt;n&gt;__*.sql</w:t>
      </w:r>
      <w:r>
        <w:rPr>
          <w:rFonts w:ascii="Calibri" w:cs="Calibri" w:eastAsia="Calibri" w:hAnsi="Calibri"/>
          <w:sz w:val="22"/>
          <w:szCs w:val="22"/>
        </w:rPr>
        <w:t xml:space="preserve"> is never edited; corrections are a new version.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Every migration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backward-compatible for one release</w:t>
      </w:r>
      <w:r>
        <w:rPr>
          <w:rFonts w:ascii="Calibri" w:cs="Calibri" w:eastAsia="Calibri" w:hAnsi="Calibri"/>
          <w:sz w:val="22"/>
          <w:szCs w:val="22"/>
        </w:rPr>
        <w:t xml:space="preserve"> with the code that preceded it (add-then-migrate-then-remove), because compose updates are rolling per service.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Destructive steps (column drops) ship only after their mirror release (SKB-DOC-04 §5.4.3); each names the LLD section that scheduled it (current example: booking V-next dropping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bookings.flight_id</w:t>
      </w:r>
      <w:r>
        <w:rPr>
          <w:rFonts w:ascii="Calibri" w:cs="Calibri" w:eastAsia="Calibri" w:hAnsi="Calibri"/>
          <w:sz w:val="22"/>
          <w:szCs w:val="22"/>
        </w:rPr>
        <w:t xml:space="preserve">, scheduled by ROUND_TRIP step 8).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Data backfills live in the migration when deterministic (e.g. checkin V3/V4 terminal backfills via the SQL twin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TerminalPolicy</w:t>
      </w:r>
      <w:r>
        <w:rPr>
          <w:rFonts w:ascii="Calibri" w:cs="Calibri" w:eastAsia="Calibri" w:hAnsi="Calibri"/>
          <w:sz w:val="22"/>
          <w:szCs w:val="22"/>
        </w:rPr>
        <w:t xml:space="preserve">), otherwise in an idempotent seed/ops script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scripts/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Booking-service's V1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squashed baseline</w:t>
      </w:r>
      <w:r>
        <w:rPr>
          <w:rFonts w:ascii="Calibri" w:cs="Calibri" w:eastAsia="Calibri" w:hAnsi="Calibri"/>
          <w:sz w:val="22"/>
          <w:szCs w:val="22"/>
        </w:rPr>
        <w:t xml:space="preserve"> (round-4 shape) — the precedent for future squashes: only at a major version, only with every environment at head.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Reference &amp; seed data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scripts/seed/</w:t>
      </w:r>
      <w:r>
        <w:rPr>
          <w:rFonts w:ascii="Calibri" w:cs="Calibri" w:eastAsia="Calibri" w:hAnsi="Calibri"/>
          <w:sz w:val="22"/>
          <w:szCs w:val="22"/>
        </w:rPr>
        <w:t xml:space="preserve"> owns non-transactional data and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idempotent end to end</w:t>
      </w:r>
      <w:r>
        <w:rPr>
          <w:rFonts w:ascii="Calibri" w:cs="Calibri" w:eastAsia="Calibri" w:hAnsi="Calibri"/>
          <w:sz w:val="22"/>
          <w:szCs w:val="22"/>
        </w:rPr>
        <w:t xml:space="preserve">: airlines and fleet (including the modern types A350-1000/787-9/A321XLR with cabin configs), a year of schedule (full-mesh variant ≈ 3×/day/pair), terminal assignments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08_terminals.sql</w:t>
      </w:r>
      <w:r>
        <w:rPr>
          <w:rFonts w:ascii="Calibri" w:cs="Calibri" w:eastAsia="Calibri" w:hAnsi="Calibri"/>
          <w:sz w:val="22"/>
          <w:szCs w:val="22"/>
        </w:rPr>
        <w:t xml:space="preserve"> — SQL twin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TerminalPolicy</w:t>
      </w:r>
      <w:r>
        <w:rPr>
          <w:rFonts w:ascii="Calibri" w:cs="Calibri" w:eastAsia="Calibri" w:hAnsi="Calibri"/>
          <w:sz w:val="22"/>
          <w:szCs w:val="22"/>
        </w:rPr>
        <w:t xml:space="preserve">, plus re-fleeting that only touches flights without sold inventory). Seeders author times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destination-local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durationMinutes</w:t>
      </w:r>
      <w:r>
        <w:rPr>
          <w:rFonts w:ascii="Calibri" w:cs="Calibri" w:eastAsia="Calibri" w:hAnsi="Calibri"/>
          <w:sz w:val="22"/>
          <w:szCs w:val="22"/>
        </w:rPr>
        <w:t xml:space="preserve"> is part of the flight contract. Never run blanket time-fix scripts after additive seeds (regression documented in the seed README).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Data integrity &amp; audit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Money-bearing rows carry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@Version</w:t>
      </w:r>
      <w:r>
        <w:rPr>
          <w:rFonts w:ascii="Calibri" w:cs="Calibri" w:eastAsia="Calibri" w:hAnsi="Calibri"/>
          <w:sz w:val="22"/>
          <w:szCs w:val="22"/>
        </w:rPr>
        <w:t xml:space="preserve"> optimistic locks; concurrent refund races resolve to exactly one winner (verified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PaymentConcurrencyTest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Monetary types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NUMERIC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BigDecimal</w:t>
      </w:r>
      <w:r>
        <w:rPr>
          <w:rFonts w:ascii="Calibri" w:cs="Calibri" w:eastAsia="Calibri" w:hAnsi="Calibri"/>
          <w:sz w:val="22"/>
          <w:szCs w:val="22"/>
        </w:rPr>
        <w:t xml:space="preserve">, never floats; rounding HALF_UP scale 2, applied only in the policy classes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FareCalculator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CancellationPolicy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RefundCalculator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State transitions on bookings, payments, and check-ins append history rows (actor, source, correlation id, note) — NFR-05. History is append-only.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Invoices are immutable after capture; refunds reference them, never edit them.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PNRs: 6 chars, generated with collision retry (bounded attempts, then fail). Ticket numbers are deterministic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125</w:t>
      </w:r>
      <w:r>
        <w:rPr>
          <w:rFonts w:ascii="Calibri" w:cs="Calibri" w:eastAsia="Calibri" w:hAnsi="Calibri"/>
          <w:sz w:val="22"/>
          <w:szCs w:val="22"/>
        </w:rPr>
        <w:t xml:space="preserve"> + booking id + traveller index) so replays cannot double-issue.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7. Retention &amp; privacy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Passenger PII (names, passport data, contacts) lives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skybook_booking</w:t>
      </w:r>
      <w:r>
        <w:rPr>
          <w:rFonts w:ascii="Calibri" w:cs="Calibri" w:eastAsia="Calibri" w:hAnsi="Calibri"/>
          <w:sz w:val="22"/>
          <w:szCs w:val="22"/>
        </w:rPr>
        <w:t xml:space="preserve"> (travellers)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skybook_checkin</w:t>
      </w:r>
      <w:r>
        <w:rPr>
          <w:rFonts w:ascii="Calibri" w:cs="Calibri" w:eastAsia="Calibri" w:hAnsi="Calibri"/>
          <w:sz w:val="22"/>
          <w:szCs w:val="22"/>
        </w:rPr>
        <w:t xml:space="preserve"> (snapshots). The platform stores no card data anywhere — the simulated gateway deals in references only. Backup and restore procedure, including per-database dumps and the restore order: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docs/DR_RUNBOOK.md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  <w:num w:numId="3">
    <w:abstractNumId w:val="4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SKB-DOC-05 — Data Architecture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2026-08-15T11:07:11.382Z</dcterms:created>
  <dcterms:modified xsi:type="dcterms:W3CDTF">2026-08-15T11:07:11.382Z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