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SKB-DOC-06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Security Architecture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SKB-DOC-06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Design source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SECURITY_HARDENING_MODULE.md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(frozen design); this document is the as-built summary developers code against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Identity &amp; token model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Issuer:</w:t>
      </w:r>
      <w:r>
        <w:rPr>
          <w:rFonts w:ascii="Calibri" w:cs="Calibri" w:eastAsia="Calibri" w:hAnsi="Calibri"/>
          <w:sz w:val="22"/>
          <w:szCs w:val="22"/>
        </w:rPr>
        <w:t xml:space="preserve"> auth-service, and only auth-service, signs tokens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RS256</w:t>
      </w:r>
      <w:r>
        <w:rPr>
          <w:rFonts w:ascii="Calibri" w:cs="Calibri" w:eastAsia="Calibri" w:hAnsi="Calibri"/>
          <w:sz w:val="22"/>
          <w:szCs w:val="22"/>
        </w:rPr>
        <w:t xml:space="preserve"> with the private key held solely by it; every other service and the gateway verify with the public key. Keys are injected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JWT_PRIVATE_KEY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JWT_PUBLIC_KEY</w:t>
      </w:r>
      <w:r>
        <w:rPr>
          <w:rFonts w:ascii="Calibri" w:cs="Calibri" w:eastAsia="Calibri" w:hAnsi="Calibri"/>
          <w:sz w:val="22"/>
          <w:szCs w:val="22"/>
        </w:rPr>
        <w:t xml:space="preserve">); there is no HS256 and no shared signing secret anywhere.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Claims:</w:t>
      </w:r>
      <w:r>
        <w:rPr>
          <w:rFonts w:ascii="Calibri" w:cs="Calibri" w:eastAsia="Calibri" w:hAnsi="Calibri"/>
          <w:sz w:val="22"/>
          <w:szCs w:val="22"/>
        </w:rPr>
        <w:t xml:space="preserve"> subject (user e-mail / service client id), exactly one role, issuer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skybook-auth</w:t>
      </w:r>
      <w:r>
        <w:rPr>
          <w:rFonts w:ascii="Calibri" w:cs="Calibri" w:eastAsia="Calibri" w:hAnsi="Calibri"/>
          <w:sz w:val="22"/>
          <w:szCs w:val="22"/>
        </w:rPr>
        <w:t xml:space="preserve">, audience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skybook-api</w:t>
      </w:r>
      <w:r>
        <w:rPr>
          <w:rFonts w:ascii="Calibri" w:cs="Calibri" w:eastAsia="Calibri" w:hAnsi="Calibri"/>
          <w:sz w:val="22"/>
          <w:szCs w:val="22"/>
        </w:rPr>
        <w:t xml:space="preserve">. The validator enforces the full tuple; a token with a surprising role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set</w:t>
      </w:r>
      <w:r>
        <w:rPr>
          <w:rFonts w:ascii="Calibri" w:cs="Calibri" w:eastAsia="Calibri" w:hAnsi="Calibri"/>
          <w:sz w:val="22"/>
          <w:szCs w:val="22"/>
        </w:rPr>
        <w:t xml:space="preserve"> (e.g. USER+SERVICE) is rejected outright.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Roles:</w:t>
      </w:r>
    </w:p>
    <w:p>
      <w:pPr>
        <w:pStyle w:val="ListParagraph"/>
        <w:numPr>
          <w:ilvl w:val="1"/>
          <w:numId w:val="2"/>
        </w:numPr>
        <w:spacing w:after="40" w:before="40" w:line="264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ROLE_USER</w:t>
      </w:r>
      <w:r>
        <w:rPr>
          <w:rFonts w:ascii="Calibri" w:cs="Calibri" w:eastAsia="Calibri" w:hAnsi="Calibri"/>
          <w:sz w:val="22"/>
          <w:szCs w:val="22"/>
        </w:rPr>
        <w:t xml:space="preserve"> — passengers. Object-level ownership applies (§3).</w:t>
      </w:r>
    </w:p>
    <w:p>
      <w:pPr>
        <w:pStyle w:val="ListParagraph"/>
        <w:numPr>
          <w:ilvl w:val="1"/>
          <w:numId w:val="2"/>
        </w:numPr>
        <w:spacing w:after="40" w:before="40" w:line="264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ROLE_ADMIN</w:t>
      </w:r>
      <w:r>
        <w:rPr>
          <w:rFonts w:ascii="Calibri" w:cs="Calibri" w:eastAsia="Calibri" w:hAnsi="Calibri"/>
          <w:sz w:val="22"/>
          <w:szCs w:val="22"/>
        </w:rPr>
        <w:t xml:space="preserve"> — back office. May read/act across customers; explicitly bypasses passenger-side time windows where the SRS says so (FR-CANX-06). No self-service path to ADMIN: bootstrap promotion only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SKYBOOK_BOOTSTRAP_ADMIN_EMAIL</w:t>
      </w:r>
      <w:r>
        <w:rPr>
          <w:rFonts w:ascii="Calibri" w:cs="Calibri" w:eastAsia="Calibri" w:hAnsi="Calibri"/>
          <w:sz w:val="22"/>
          <w:szCs w:val="22"/>
        </w:rPr>
        <w:t xml:space="preserve"> at auth-service start.</w:t>
      </w:r>
    </w:p>
    <w:p>
      <w:pPr>
        <w:pStyle w:val="ListParagraph"/>
        <w:numPr>
          <w:ilvl w:val="1"/>
          <w:numId w:val="2"/>
        </w:numPr>
        <w:spacing w:after="40" w:before="40" w:line="264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ROLE_SERVICE</w:t>
      </w:r>
      <w:r>
        <w:rPr>
          <w:rFonts w:ascii="Calibri" w:cs="Calibri" w:eastAsia="Calibri" w:hAnsi="Calibri"/>
          <w:sz w:val="22"/>
          <w:szCs w:val="22"/>
        </w:rPr>
        <w:t xml:space="preserve"> — machine identity for service→service calls (§2).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contract: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 /api/auth/login</w:t>
      </w:r>
      <w:r>
        <w:rPr>
          <w:rFonts w:ascii="Calibri" w:cs="Calibri" w:eastAsia="Calibri" w:hAnsi="Calibri"/>
          <w:sz w:val="22"/>
          <w:szCs w:val="22"/>
        </w:rPr>
        <w:t xml:space="preserve"> returns the raw JWT as text/plain. Logout is client-side token disposal plus server-side session cleanup for SSO.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SSO:</w:t>
      </w:r>
      <w:r>
        <w:rPr>
          <w:rFonts w:ascii="Calibri" w:cs="Calibri" w:eastAsia="Calibri" w:hAnsi="Calibri"/>
          <w:sz w:val="22"/>
          <w:szCs w:val="22"/>
        </w:rPr>
        <w:t xml:space="preserve"> "Sign in with Google" 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SSO_MODULE.md</w:t>
      </w:r>
      <w:r>
        <w:rPr>
          <w:rFonts w:ascii="Calibri" w:cs="Calibri" w:eastAsia="Calibri" w:hAnsi="Calibri"/>
          <w:sz w:val="22"/>
          <w:szCs w:val="22"/>
        </w:rPr>
        <w:t xml:space="preserve">; the transient session cookie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__Host-</w:t>
      </w:r>
      <w:r>
        <w:rPr>
          <w:rFonts w:ascii="Calibri" w:cs="Calibri" w:eastAsia="Calibri" w:hAnsi="Calibri"/>
          <w:sz w:val="22"/>
          <w:szCs w:val="22"/>
        </w:rPr>
        <w:t xml:space="preserve"> prefixed (requires Secure; browsers drop it otherwise — a documented production lesson).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Service-to-service authentication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Outbound Feign calls attach a short-lived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ROLE_SERVICE</w:t>
      </w:r>
      <w:r>
        <w:rPr>
          <w:rFonts w:ascii="Calibri" w:cs="Calibri" w:eastAsia="Calibri" w:hAnsi="Calibri"/>
          <w:sz w:val="22"/>
          <w:szCs w:val="22"/>
        </w:rPr>
        <w:t xml:space="preserve"> token obtained from auth-service's internal token endpoint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per-service client credentials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*_CLIENT_SECRET</w:t>
      </w:r>
      <w:r>
        <w:rPr>
          <w:rFonts w:ascii="Calibri" w:cs="Calibri" w:eastAsia="Calibri" w:hAnsi="Calibri"/>
          <w:sz w:val="22"/>
          <w:szCs w:val="22"/>
        </w:rPr>
        <w:t xml:space="preserve"> env vars; auth-service stores hashes). Tokens are audience-targeted and cached until near expiry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ServiceTokenProvider</w:t>
      </w:r>
      <w:r>
        <w:rPr>
          <w:rFonts w:ascii="Calibri" w:cs="Calibri" w:eastAsia="Calibri" w:hAnsi="Calibri"/>
          <w:sz w:val="22"/>
          <w:szCs w:val="22"/>
        </w:rPr>
        <w:t xml:space="preserve">). Rule for developers: code running on a Kafka consumer thread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user token to propagate</w:t>
      </w:r>
      <w:r>
        <w:rPr>
          <w:rFonts w:ascii="Calibri" w:cs="Calibri" w:eastAsia="Calibri" w:hAnsi="Calibri"/>
          <w:sz w:val="22"/>
          <w:szCs w:val="22"/>
        </w:rPr>
        <w:t xml:space="preserve"> — any synchronous enrichment call from an event handler must use the service token path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getFlightAsService</w:t>
      </w:r>
      <w:r>
        <w:rPr>
          <w:rFonts w:ascii="Calibri" w:cs="Calibri" w:eastAsia="Calibri" w:hAnsi="Calibri"/>
          <w:sz w:val="22"/>
          <w:szCs w:val="22"/>
        </w:rPr>
        <w:t xml:space="preserve"> is the precedent), never a stashed user credential.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Object-level authorisation (the ownership rule)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booking, payment, and check-in row snapshots its owner's subject at creation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ownerSubject</w:t>
      </w:r>
      <w:r>
        <w:rPr>
          <w:rFonts w:ascii="Calibri" w:cs="Calibri" w:eastAsia="Calibri" w:hAnsi="Calibri"/>
          <w:sz w:val="22"/>
          <w:szCs w:val="22"/>
        </w:rPr>
        <w:t xml:space="preserve">, carried on every event). Guards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requireOwnerOfBooking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requireOwnerOfCheckIn</w:t>
      </w:r>
      <w:r>
        <w:rPr>
          <w:rFonts w:ascii="Calibri" w:cs="Calibri" w:eastAsia="Calibri" w:hAnsi="Calibri"/>
          <w:sz w:val="22"/>
          <w:szCs w:val="22"/>
        </w:rPr>
        <w:t xml:space="preserve">, …) compare the token subject against the row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the owning service</w:t>
      </w:r>
      <w:r>
        <w:rPr>
          <w:rFonts w:ascii="Calibri" w:cs="Calibri" w:eastAsia="Calibri" w:hAnsi="Calibri"/>
          <w:sz w:val="22"/>
          <w:szCs w:val="22"/>
        </w:rPr>
        <w:t xml:space="preserve"> — never trusting a client-supplied id —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isPrivileged()</w:t>
      </w:r>
      <w:r>
        <w:rPr>
          <w:rFonts w:ascii="Calibri" w:cs="Calibri" w:eastAsia="Calibri" w:hAnsi="Calibri"/>
          <w:sz w:val="22"/>
          <w:szCs w:val="22"/>
        </w:rPr>
        <w:t xml:space="preserve"> (ADMIN or SERVICE) is the only bypass. List endpoints are owner-scoped by construction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/mine</w:t>
      </w:r>
      <w:r>
        <w:rPr>
          <w:rFonts w:ascii="Calibri" w:cs="Calibri" w:eastAsia="Calibri" w:hAnsi="Calibri"/>
          <w:sz w:val="22"/>
          <w:szCs w:val="22"/>
        </w:rPr>
        <w:t xml:space="preserve"> reads the subject from the token; there is no id parameter to tamper with).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Guest check-in gets a scoped session (booking + surname proof) that grants access to exactly one booking's check-in operations; guests must never hit the global 401→sign-in redirect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GUEST_CHECKIN_MODULE.md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Edge security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The gateway verifies tokens for everything outside the public-path allow-list (SKB-DOC-04 §2.1) — and each owning service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verifies again</w:t>
      </w:r>
      <w:r>
        <w:rPr>
          <w:rFonts w:ascii="Calibri" w:cs="Calibri" w:eastAsia="Calibri" w:hAnsi="Calibri"/>
          <w:sz w:val="22"/>
          <w:szCs w:val="22"/>
        </w:rPr>
        <w:t xml:space="preserve">; the gateway is a convenience layer, not the trust boundary. Making an endpoint public requires all four gates in one PR (route table, gateway allow-list, service SecurityConfig, fan-out check).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The SPA's nginx proxies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same-origin and strips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Origin</w:t>
      </w:r>
      <w:r>
        <w:rPr>
          <w:rFonts w:ascii="Calibri" w:cs="Calibri" w:eastAsia="Calibri" w:hAnsi="Calibri"/>
          <w:sz w:val="22"/>
          <w:szCs w:val="22"/>
        </w:rPr>
        <w:t xml:space="preserve"> header (auth is Bearer, not cookies, so CORS adds nothing on that path and the app deploys on any domain). Gateway CORS remains only for direct dev-time origins.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Production exposes exactly one door: Caddy on 80/443 with automatic TLS; every operational port binds to 127.0.0.1 (SSH tunnel access)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docker-compose.prod.yml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Secrets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secrets arrive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/environment and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fail-fast</w:t>
      </w:r>
      <w:r>
        <w:rPr>
          <w:rFonts w:ascii="Calibri" w:cs="Calibri" w:eastAsia="Calibri" w:hAnsi="Calibri"/>
          <w:sz w:val="22"/>
          <w:szCs w:val="22"/>
        </w:rPr>
        <w:t xml:space="preserve">: compose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${VAR:?}</w:t>
      </w:r>
      <w:r>
        <w:rPr>
          <w:rFonts w:ascii="Calibri" w:cs="Calibri" w:eastAsia="Calibri" w:hAnsi="Calibri"/>
          <w:sz w:val="22"/>
          <w:szCs w:val="22"/>
        </w:rPr>
        <w:t xml:space="preserve"> so a missing secret aborts startup; checkin-service additionally refuses its HMAC key if it is short or equals the old dev default. Inventory of secrets and generation commands: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env.example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docs/DEPLOY_ORACLE.md</w:t>
      </w:r>
      <w:r>
        <w:rPr>
          <w:rFonts w:ascii="Calibri" w:cs="Calibri" w:eastAsia="Calibri" w:hAnsi="Calibri"/>
          <w:sz w:val="22"/>
          <w:szCs w:val="22"/>
        </w:rPr>
        <w:t xml:space="preserve"> §4. Never commit a real value;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is gitignored. Password hashing: BCrypt. Card data: none exists in the system (§7 of SKB-DOC-05).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Signed artefacts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Boarding-pass QR tokens are HMAC-signed by checkin-service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CHECKIN_BOARDING_PASS_KEY</w:t>
      </w:r>
      <w:r>
        <w:rPr>
          <w:rFonts w:ascii="Calibri" w:cs="Calibri" w:eastAsia="Calibri" w:hAnsi="Calibri"/>
          <w:sz w:val="22"/>
          <w:szCs w:val="22"/>
        </w:rPr>
        <w:t xml:space="preserve">, ≥32 bytes). Verification happens server-side at the admin verify endpoint; a revoked or reissued pass fails verification. Reissue (post-check-in seat change) invalidates the prior pass atomically with issuing the new one.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7. Security engineering rules for developers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New endpoint ⇒ decide its class first: public (four gates), USER-owned (add the ownership guard), ADMIN, or SERVICE. There is no fifth class.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Never log tokens, secrets, or full PII; passenger names/PNRs are acceptable in logs, passport numbers are not.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Any new cross-service call ⇒ service-token path + resilience wrapper (SKB-DOC-02 §5); never a raw RestTemplate.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AuthZ failures return 403 with an honest message; existence-probing reads return 404 for objects the caller cannot see.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Every security-relevant change updates this document's register in the same PR (SKB-DOC-04 §6 applies equally here).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8. Known posture notes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TLS terminates at Caddy; in-VM traffic between containers is plain HTTP on the compose network (accepted for the single-host topology; revisit for Kubernetes).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Rate limiting at the edge is not yet implemented (backlog; mitigations: bookable cutoffs, idempotency keys, optimistic locks bound the damage of replayed writes).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The CSRF suppressions flagged by static analysis are reviewed and justified (Bearer-token API, no cookie-authenticated state changes) — see the Sonar gate record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project_sonar_gate</w:t>
      </w:r>
      <w:r>
        <w:rPr>
          <w:rFonts w:ascii="Calibri" w:cs="Calibri" w:eastAsia="Calibri" w:hAnsi="Calibri"/>
          <w:sz w:val="22"/>
          <w:szCs w:val="22"/>
        </w:rPr>
        <w:t xml:space="preserve"> history.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SKB-DOC-06 — Security Architecture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2026-08-15T11:07:11.415Z</dcterms:created>
  <dcterms:modified xsi:type="dcterms:W3CDTF">2026-08-15T11:07:11.415Z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