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Calibri Light" w:cs="Calibri Light" w:eastAsia="Calibri Light" w:hAnsi="Calibri Light"/>
          <w:color w:val="595959"/>
          <w:sz w:val="28"/>
          <w:szCs w:val="28"/>
        </w:rPr>
        <w:t xml:space="preserve">SkyBook Airline Reservation Platform</w:t>
      </w:r>
    </w:p>
    <w:p>
      <w:pPr>
        <w:spacing w:after="60" w:before="120"/>
      </w:pPr>
      <w:r>
        <w:rPr>
          <w:rFonts w:ascii="Calibri Light" w:cs="Calibri Light" w:eastAsia="Calibri Light" w:hAnsi="Calibri Light"/>
          <w:b/>
          <w:bCs/>
          <w:color w:val="2E5395"/>
          <w:sz w:val="32"/>
          <w:szCs w:val="32"/>
        </w:rPr>
        <w:t xml:space="preserve">SKB-DOC-07</w:t>
      </w:r>
    </w:p>
    <w:p>
      <w:pPr>
        <w:pBdr>
          <w:bottom w:val="single" w:color="1F3864" w:sz="12"/>
        </w:pBdr>
        <w:spacing w:after="300" w:before="0"/>
      </w:pPr>
      <w:r>
        <w:rPr>
          <w:rFonts w:ascii="Calibri Light" w:cs="Calibri Light" w:eastAsia="Calibri Light" w:hAnsi="Calibri Light"/>
          <w:b/>
          <w:bCs/>
          <w:color w:val="1F3864"/>
          <w:sz w:val="56"/>
          <w:szCs w:val="56"/>
        </w:rPr>
        <w:t xml:space="preserve">Engineering Handbook (Standards &amp; Process)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891"/>
        <w:gridCol w:w="6747"/>
      </w:tblGrid>
      <w:tr>
        <w:trPr>
          <w:tblHeader/>
        </w:trPr>
        <w:tc>
          <w:tcPr>
            <w:tcW w:type="dxa" w:w="2891"/>
            <w:shd w:fill="1F3864" w:val="clear"/>
            <w:tcMar>
              <w:top w:type="dxa" w:w="60"/>
              <w:left w:type="dxa" w:w="100"/>
              <w:bottom w:type="dxa" w:w="60"/>
              <w:right w:type="dxa" w:w="100"/>
            </w:tcMar>
          </w:tcPr>
          <w:p>
            <w:pPr>
              <w:spacing w:after="0" w:before="0"/>
            </w:pPr>
            <w:r>
              <w:rPr>
                <w:rFonts w:ascii="Calibri" w:cs="Calibri" w:eastAsia="Calibri" w:hAnsi="Calibri"/>
                <w:b/>
                <w:bCs/>
                <w:color w:val="FFFFFF"/>
                <w:sz w:val="22"/>
                <w:szCs w:val="22"/>
              </w:rPr>
              <w:t xml:space="preserve">Field</w:t>
            </w:r>
          </w:p>
        </w:tc>
        <w:tc>
          <w:tcPr>
            <w:tcW w:type="dxa" w:w="6747"/>
            <w:shd w:fill="1F3864" w:val="clear"/>
            <w:tcMar>
              <w:top w:type="dxa" w:w="60"/>
              <w:left w:type="dxa" w:w="100"/>
              <w:bottom w:type="dxa" w:w="60"/>
              <w:right w:type="dxa" w:w="100"/>
            </w:tcMar>
          </w:tcPr>
          <w:p>
            <w:pPr>
              <w:spacing w:after="0" w:before="0"/>
            </w:pPr>
            <w:r>
              <w:rPr>
                <w:rFonts w:ascii="Calibri" w:cs="Calibri" w:eastAsia="Calibri" w:hAnsi="Calibri"/>
                <w:b/>
                <w:bCs/>
                <w:color w:val="FFFFFF"/>
                <w:sz w:val="22"/>
                <w:szCs w:val="22"/>
              </w:rPr>
              <w:t xml:space="preserve">Value</w:t>
            </w:r>
          </w:p>
        </w:tc>
      </w:tr>
      <w:tr>
        <w:trPr>
          <w:tblHeader w:val="false"/>
        </w:trPr>
        <w:tc>
          <w:tcPr>
            <w:tcW w:type="dxa" w:w="2891"/>
            <w:tcMar>
              <w:top w:type="dxa" w:w="60"/>
              <w:left w:type="dxa" w:w="100"/>
              <w:bottom w:type="dxa" w:w="60"/>
              <w:right w:type="dxa" w:w="100"/>
            </w:tcMar>
          </w:tcPr>
          <w:p>
            <w:pPr>
              <w:spacing w:after="0" w:before="0"/>
            </w:pPr>
            <w:r>
              <w:rPr>
                <w:rFonts w:ascii="Calibri" w:cs="Calibri" w:eastAsia="Calibri" w:hAnsi="Calibri"/>
                <w:sz w:val="22"/>
                <w:szCs w:val="22"/>
              </w:rPr>
              <w:t xml:space="preserve">Document ID</w:t>
            </w:r>
          </w:p>
        </w:tc>
        <w:tc>
          <w:tcPr>
            <w:tcW w:type="dxa" w:w="6747"/>
            <w:tcMar>
              <w:top w:type="dxa" w:w="60"/>
              <w:left w:type="dxa" w:w="100"/>
              <w:bottom w:type="dxa" w:w="60"/>
              <w:right w:type="dxa" w:w="100"/>
            </w:tcMar>
          </w:tcPr>
          <w:p>
            <w:pPr>
              <w:spacing w:after="0" w:before="0"/>
            </w:pPr>
            <w:r>
              <w:rPr>
                <w:rFonts w:ascii="Calibri" w:cs="Calibri" w:eastAsia="Calibri" w:hAnsi="Calibri"/>
                <w:sz w:val="22"/>
                <w:szCs w:val="22"/>
              </w:rPr>
              <w:t xml:space="preserve">SKB-DOC-07</w:t>
            </w:r>
          </w:p>
        </w:tc>
      </w:tr>
      <w:tr>
        <w:trPr>
          <w:tblHeader w:val="false"/>
        </w:trPr>
        <w:tc>
          <w:tcPr>
            <w:tcW w:type="dxa" w:w="2891"/>
            <w:shd w:fill="F7F9FC" w:val="clear"/>
            <w:tcMar>
              <w:top w:type="dxa" w:w="60"/>
              <w:left w:type="dxa" w:w="100"/>
              <w:bottom w:type="dxa" w:w="60"/>
              <w:right w:type="dxa" w:w="100"/>
            </w:tcMar>
          </w:tcPr>
          <w:p>
            <w:pPr>
              <w:spacing w:after="0" w:before="0"/>
            </w:pPr>
            <w:r>
              <w:rPr>
                <w:rFonts w:ascii="Calibri" w:cs="Calibri" w:eastAsia="Calibri" w:hAnsi="Calibri"/>
                <w:sz w:val="22"/>
                <w:szCs w:val="22"/>
              </w:rPr>
              <w:t xml:space="preserve">Version</w:t>
            </w:r>
          </w:p>
        </w:tc>
        <w:tc>
          <w:tcPr>
            <w:tcW w:type="dxa" w:w="6747"/>
            <w:shd w:fill="F7F9FC" w:val="clear"/>
            <w:tcMar>
              <w:top w:type="dxa" w:w="60"/>
              <w:left w:type="dxa" w:w="100"/>
              <w:bottom w:type="dxa" w:w="60"/>
              <w:right w:type="dxa" w:w="100"/>
            </w:tcMar>
          </w:tcPr>
          <w:p>
            <w:pPr>
              <w:spacing w:after="0" w:before="0"/>
            </w:pPr>
            <w:r>
              <w:rPr>
                <w:rFonts w:ascii="Calibri" w:cs="Calibri" w:eastAsia="Calibri" w:hAnsi="Calibri"/>
                <w:sz w:val="22"/>
                <w:szCs w:val="22"/>
              </w:rPr>
              <w:t xml:space="preserve">1.0</w:t>
            </w:r>
          </w:p>
        </w:tc>
      </w:tr>
      <w:tr>
        <w:trPr>
          <w:tblHeader w:val="false"/>
        </w:trPr>
        <w:tc>
          <w:tcPr>
            <w:tcW w:type="dxa" w:w="2891"/>
            <w:tcMar>
              <w:top w:type="dxa" w:w="60"/>
              <w:left w:type="dxa" w:w="100"/>
              <w:bottom w:type="dxa" w:w="60"/>
              <w:right w:type="dxa" w:w="100"/>
            </w:tcMar>
          </w:tcPr>
          <w:p>
            <w:pPr>
              <w:spacing w:after="0" w:before="0"/>
            </w:pPr>
            <w:r>
              <w:rPr>
                <w:rFonts w:ascii="Calibri" w:cs="Calibri" w:eastAsia="Calibri" w:hAnsi="Calibri"/>
                <w:sz w:val="22"/>
                <w:szCs w:val="22"/>
              </w:rPr>
              <w:t xml:space="preserve">Status</w:t>
            </w:r>
          </w:p>
        </w:tc>
        <w:tc>
          <w:tcPr>
            <w:tcW w:type="dxa" w:w="6747"/>
            <w:tcMar>
              <w:top w:type="dxa" w:w="60"/>
              <w:left w:type="dxa" w:w="100"/>
              <w:bottom w:type="dxa" w:w="60"/>
              <w:right w:type="dxa" w:w="100"/>
            </w:tcMar>
          </w:tcPr>
          <w:p>
            <w:pPr>
              <w:spacing w:after="0" w:before="0"/>
            </w:pPr>
            <w:r>
              <w:rPr>
                <w:rFonts w:ascii="Calibri" w:cs="Calibri" w:eastAsia="Calibri" w:hAnsi="Calibri"/>
                <w:sz w:val="22"/>
                <w:szCs w:val="22"/>
              </w:rPr>
              <w:t xml:space="preserve">Baselined</w:t>
            </w:r>
          </w:p>
        </w:tc>
      </w:tr>
      <w:tr>
        <w:trPr>
          <w:tblHeader w:val="false"/>
        </w:trPr>
        <w:tc>
          <w:tcPr>
            <w:tcW w:type="dxa" w:w="2891"/>
            <w:shd w:fill="F7F9FC" w:val="clear"/>
            <w:tcMar>
              <w:top w:type="dxa" w:w="60"/>
              <w:left w:type="dxa" w:w="100"/>
              <w:bottom w:type="dxa" w:w="60"/>
              <w:right w:type="dxa" w:w="100"/>
            </w:tcMar>
          </w:tcPr>
          <w:p>
            <w:pPr>
              <w:spacing w:after="0" w:before="0"/>
            </w:pPr>
            <w:r>
              <w:rPr>
                <w:rFonts w:ascii="Calibri" w:cs="Calibri" w:eastAsia="Calibri" w:hAnsi="Calibri"/>
                <w:sz w:val="22"/>
                <w:szCs w:val="22"/>
              </w:rPr>
              <w:t xml:space="preserve">Owner</w:t>
            </w:r>
          </w:p>
        </w:tc>
        <w:tc>
          <w:tcPr>
            <w:tcW w:type="dxa" w:w="6747"/>
            <w:shd w:fill="F7F9FC" w:val="clear"/>
            <w:tcMar>
              <w:top w:type="dxa" w:w="60"/>
              <w:left w:type="dxa" w:w="100"/>
              <w:bottom w:type="dxa" w:w="60"/>
              <w:right w:type="dxa" w:w="100"/>
            </w:tcMar>
          </w:tcPr>
          <w:p>
            <w:pPr>
              <w:spacing w:after="0" w:before="0"/>
            </w:pPr>
            <w:r>
              <w:rPr>
                <w:rFonts w:ascii="Calibri" w:cs="Calibri" w:eastAsia="Calibri" w:hAnsi="Calibri"/>
                <w:sz w:val="22"/>
                <w:szCs w:val="22"/>
              </w:rPr>
              <w:t xml:space="preserve">Platform Engineering</w:t>
            </w:r>
          </w:p>
        </w:tc>
      </w:tr>
      <w:tr>
        <w:trPr>
          <w:tblHeader w:val="false"/>
        </w:trPr>
        <w:tc>
          <w:tcPr>
            <w:tcW w:type="dxa" w:w="2891"/>
            <w:tcMar>
              <w:top w:type="dxa" w:w="60"/>
              <w:left w:type="dxa" w:w="100"/>
              <w:bottom w:type="dxa" w:w="60"/>
              <w:right w:type="dxa" w:w="100"/>
            </w:tcMar>
          </w:tcPr>
          <w:p>
            <w:pPr>
              <w:spacing w:after="0" w:before="0"/>
            </w:pPr>
            <w:r>
              <w:rPr>
                <w:rFonts w:ascii="Calibri" w:cs="Calibri" w:eastAsia="Calibri" w:hAnsi="Calibri"/>
                <w:sz w:val="22"/>
                <w:szCs w:val="22"/>
              </w:rPr>
              <w:t xml:space="preserve">Effective date</w:t>
            </w:r>
          </w:p>
        </w:tc>
        <w:tc>
          <w:tcPr>
            <w:tcW w:type="dxa" w:w="6747"/>
            <w:tcMar>
              <w:top w:type="dxa" w:w="60"/>
              <w:left w:type="dxa" w:w="100"/>
              <w:bottom w:type="dxa" w:w="60"/>
              <w:right w:type="dxa" w:w="100"/>
            </w:tcMar>
          </w:tcPr>
          <w:p>
            <w:pPr>
              <w:spacing w:after="0" w:before="0"/>
            </w:pPr>
            <w:r>
              <w:rPr>
                <w:rFonts w:ascii="Calibri" w:cs="Calibri" w:eastAsia="Calibri" w:hAnsi="Calibri"/>
                <w:sz w:val="22"/>
                <w:szCs w:val="22"/>
              </w:rPr>
              <w:t xml:space="preserve">2026-08-01</w:t>
            </w:r>
          </w:p>
        </w:tc>
      </w:tr>
    </w:tbl>
    <w:p>
      <w:pPr>
        <w:spacing w:after="120" w:before="300"/>
      </w:pPr>
      <w:r>
        <w:rPr>
          <w:rFonts w:ascii="Calibri Light" w:cs="Calibri Light" w:eastAsia="Calibri Light" w:hAnsi="Calibri Light"/>
          <w:b/>
          <w:bCs/>
          <w:color w:val="1F3864"/>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spacing w:after="120" w:before="60" w:line="276"/>
        <w:jc w:val="both"/>
      </w:pPr>
      <w:r>
        <w:rPr>
          <w:rFonts w:ascii="Calibri" w:cs="Calibri" w:eastAsia="Calibri" w:hAnsi="Calibri"/>
          <w:sz w:val="22"/>
          <w:szCs w:val="22"/>
        </w:rPr>
        <w:t xml:space="preserve">This is the how-we-work document. It is short on purpose: rules that are not followed are worse than no rules, so only the ones we actually enforce are here.</w:t>
      </w:r>
    </w:p>
    <w:p>
      <w:pPr>
        <w:pStyle w:val="Heading1"/>
        <w:spacing w:after="160" w:before="360"/>
      </w:pPr>
      <w:r>
        <w:rPr>
          <w:rFonts w:ascii="Calibri Light" w:cs="Calibri Light" w:eastAsia="Calibri Light" w:hAnsi="Calibri Light"/>
          <w:b/>
          <w:bCs/>
          <w:color w:val="1F3864"/>
          <w:sz w:val="30"/>
          <w:szCs w:val="30"/>
        </w:rPr>
        <w:t xml:space="preserve">1. Java / Spring standards</w:t>
      </w:r>
    </w:p>
    <w:p>
      <w:pPr>
        <w:pStyle w:val="ListParagraph"/>
        <w:numPr>
          <w:ilvl w:val="0"/>
          <w:numId w:val="2"/>
        </w:numPr>
        <w:spacing w:after="40" w:before="40" w:line="264"/>
      </w:pPr>
      <w:r>
        <w:rPr>
          <w:rFonts w:ascii="Calibri" w:cs="Calibri" w:eastAsia="Calibri" w:hAnsi="Calibri"/>
          <w:b/>
          <w:bCs/>
          <w:sz w:val="22"/>
          <w:szCs w:val="22"/>
        </w:rPr>
        <w:t xml:space="preserve">Java 21, Spring Boot 3.</w:t>
      </w:r>
      <w:r>
        <w:rPr>
          <w:rFonts w:ascii="Calibri" w:cs="Calibri" w:eastAsia="Calibri" w:hAnsi="Calibri"/>
          <w:sz w:val="22"/>
          <w:szCs w:val="22"/>
        </w:rPr>
        <w:t xml:space="preserve"> Records for DTOs and value objects; Lombok only for entities/builders where already established.</w:t>
      </w:r>
    </w:p>
    <w:p>
      <w:pPr>
        <w:pStyle w:val="ListParagraph"/>
        <w:numPr>
          <w:ilvl w:val="0"/>
          <w:numId w:val="2"/>
        </w:numPr>
        <w:spacing w:after="40" w:before="40" w:line="264"/>
      </w:pPr>
      <w:r>
        <w:rPr>
          <w:rFonts w:ascii="Calibri" w:cs="Calibri" w:eastAsia="Calibri" w:hAnsi="Calibri"/>
          <w:b/>
          <w:bCs/>
          <w:sz w:val="22"/>
          <w:szCs w:val="22"/>
        </w:rPr>
        <w:t xml:space="preserve">Constructor injection only.</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@Value</w:t>
      </w:r>
      <w:r>
        <w:rPr>
          <w:rFonts w:ascii="Calibri" w:cs="Calibri" w:eastAsia="Calibri" w:hAnsi="Calibri"/>
          <w:sz w:val="22"/>
          <w:szCs w:val="22"/>
        </w:rPr>
        <w:t xml:space="preserve"> fields are constructor parameters (testability); field injection is rejected in review.</w:t>
      </w:r>
    </w:p>
    <w:p>
      <w:pPr>
        <w:pStyle w:val="ListParagraph"/>
        <w:numPr>
          <w:ilvl w:val="0"/>
          <w:numId w:val="2"/>
        </w:numPr>
        <w:spacing w:after="40" w:before="40" w:line="264"/>
      </w:pPr>
      <w:r>
        <w:rPr>
          <w:rFonts w:ascii="Calibri" w:cs="Calibri" w:eastAsia="Calibri" w:hAnsi="Calibri"/>
          <w:b/>
          <w:bCs/>
          <w:sz w:val="22"/>
          <w:szCs w:val="22"/>
        </w:rPr>
        <w:t xml:space="preserve">Layering per service:</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controller → facade → service → repository</w:t>
      </w:r>
      <w:r>
        <w:rPr>
          <w:rFonts w:ascii="Calibri" w:cs="Calibri" w:eastAsia="Calibri" w:hAnsi="Calibri"/>
          <w:sz w:val="22"/>
          <w:szCs w:val="22"/>
        </w:rPr>
        <w:t xml:space="preserve">, with </w:t>
      </w:r>
      <w:r>
        <w:rPr>
          <w:rFonts w:ascii="Consolas" w:cs="Consolas" w:eastAsia="Consolas" w:hAnsi="Consolas"/>
          <w:sz w:val="20"/>
          <w:szCs w:val="20"/>
          <w:shd w:fill="F2F2F2" w:val="clear"/>
        </w:rPr>
        <w:t xml:space="preserve">domain/</w:t>
      </w:r>
      <w:r>
        <w:rPr>
          <w:rFonts w:ascii="Calibri" w:cs="Calibri" w:eastAsia="Calibri" w:hAnsi="Calibri"/>
          <w:sz w:val="22"/>
          <w:szCs w:val="22"/>
        </w:rPr>
        <w:t xml:space="preserve"> for pure policy classes (state machines, calculators, policies — no I/O, fully unit-testable). Facades own orchestration and compensation; services own transactions; controllers own nothing but binding and guards.</w:t>
      </w:r>
    </w:p>
    <w:p>
      <w:pPr>
        <w:pStyle w:val="ListParagraph"/>
        <w:numPr>
          <w:ilvl w:val="0"/>
          <w:numId w:val="2"/>
        </w:numPr>
        <w:spacing w:after="40" w:before="40" w:line="264"/>
      </w:pPr>
      <w:r>
        <w:rPr>
          <w:rFonts w:ascii="Calibri" w:cs="Calibri" w:eastAsia="Calibri" w:hAnsi="Calibri"/>
          <w:b/>
          <w:bCs/>
          <w:sz w:val="22"/>
          <w:szCs w:val="22"/>
        </w:rPr>
        <w:t xml:space="preserve">Transactions end where events begin.</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@Transactional</w:t>
      </w:r>
      <w:r>
        <w:rPr>
          <w:rFonts w:ascii="Calibri" w:cs="Calibri" w:eastAsia="Calibri" w:hAnsi="Calibri"/>
          <w:sz w:val="22"/>
          <w:szCs w:val="22"/>
        </w:rPr>
        <w:t xml:space="preserve"> on service methods; facades publish to Kafka only after the service call returned (equivalent to after-commit). Never publish inside a transaction.</w:t>
      </w:r>
    </w:p>
    <w:p>
      <w:pPr>
        <w:pStyle w:val="ListParagraph"/>
        <w:numPr>
          <w:ilvl w:val="0"/>
          <w:numId w:val="2"/>
        </w:numPr>
        <w:spacing w:after="40" w:before="40" w:line="264"/>
      </w:pPr>
      <w:r>
        <w:rPr>
          <w:rFonts w:ascii="Calibri" w:cs="Calibri" w:eastAsia="Calibri" w:hAnsi="Calibri"/>
          <w:b/>
          <w:bCs/>
          <w:sz w:val="22"/>
          <w:szCs w:val="22"/>
        </w:rPr>
        <w:t xml:space="preserve">Money</w:t>
      </w:r>
      <w:r>
        <w:rPr>
          <w:rFonts w:ascii="Calibri" w:cs="Calibri" w:eastAsia="Calibri" w:hAnsi="Calibri"/>
          <w:sz w:val="22"/>
          <w:szCs w:val="22"/>
        </w:rPr>
        <w:t xml:space="preserve"> is </w:t>
      </w:r>
      <w:r>
        <w:rPr>
          <w:rFonts w:ascii="Consolas" w:cs="Consolas" w:eastAsia="Consolas" w:hAnsi="Consolas"/>
          <w:sz w:val="20"/>
          <w:szCs w:val="20"/>
          <w:shd w:fill="F2F2F2" w:val="clear"/>
        </w:rPr>
        <w:t xml:space="preserve">BigDecimal</w:t>
      </w:r>
      <w:r>
        <w:rPr>
          <w:rFonts w:ascii="Calibri" w:cs="Calibri" w:eastAsia="Calibri" w:hAnsi="Calibri"/>
          <w:sz w:val="22"/>
          <w:szCs w:val="22"/>
        </w:rPr>
        <w:t xml:space="preserve">, rounding HALF_UP scale 2, only inside the policy classes. Never </w:t>
      </w:r>
      <w:r>
        <w:rPr>
          <w:rFonts w:ascii="Consolas" w:cs="Consolas" w:eastAsia="Consolas" w:hAnsi="Consolas"/>
          <w:sz w:val="20"/>
          <w:szCs w:val="20"/>
          <w:shd w:fill="F2F2F2" w:val="clear"/>
        </w:rPr>
        <w:t xml:space="preserve">double</w:t>
      </w:r>
      <w:r>
        <w:rPr>
          <w:rFonts w:ascii="Calibri" w:cs="Calibri" w:eastAsia="Calibri" w:hAnsi="Calibri"/>
          <w:sz w:val="22"/>
          <w:szCs w:val="22"/>
        </w:rPr>
        <w:t xml:space="preserve">, never rounding at the edge.</w:t>
      </w:r>
    </w:p>
    <w:p>
      <w:pPr>
        <w:pStyle w:val="ListParagraph"/>
        <w:numPr>
          <w:ilvl w:val="0"/>
          <w:numId w:val="2"/>
        </w:numPr>
        <w:spacing w:after="40" w:before="40" w:line="264"/>
      </w:pPr>
      <w:r>
        <w:rPr>
          <w:rFonts w:ascii="Calibri" w:cs="Calibri" w:eastAsia="Calibri" w:hAnsi="Calibri"/>
          <w:b/>
          <w:bCs/>
          <w:sz w:val="22"/>
          <w:szCs w:val="22"/>
        </w:rPr>
        <w:t xml:space="preserve">Time</w:t>
      </w:r>
      <w:r>
        <w:rPr>
          <w:rFonts w:ascii="Calibri" w:cs="Calibri" w:eastAsia="Calibri" w:hAnsi="Calibri"/>
          <w:sz w:val="22"/>
          <w:szCs w:val="22"/>
        </w:rPr>
        <w:t xml:space="preserve">: schedule times are airport-local </w:t>
      </w:r>
      <w:r>
        <w:rPr>
          <w:rFonts w:ascii="Consolas" w:cs="Consolas" w:eastAsia="Consolas" w:hAnsi="Consolas"/>
          <w:sz w:val="20"/>
          <w:szCs w:val="20"/>
          <w:shd w:fill="F2F2F2" w:val="clear"/>
        </w:rPr>
        <w:t xml:space="preserve">LocalDateTime</w:t>
      </w:r>
      <w:r>
        <w:rPr>
          <w:rFonts w:ascii="Calibri" w:cs="Calibri" w:eastAsia="Calibri" w:hAnsi="Calibri"/>
          <w:sz w:val="22"/>
          <w:szCs w:val="22"/>
        </w:rPr>
        <w:t xml:space="preserve"> by system convention; any code comparing them with </w:t>
      </w:r>
      <w:r>
        <w:rPr>
          <w:rFonts w:ascii="Consolas" w:cs="Consolas" w:eastAsia="Consolas" w:hAnsi="Consolas"/>
          <w:sz w:val="20"/>
          <w:szCs w:val="20"/>
          <w:shd w:fill="F2F2F2" w:val="clear"/>
        </w:rPr>
        <w:t xml:space="preserve">LocalDateTime.now()</w:t>
      </w:r>
      <w:r>
        <w:rPr>
          <w:rFonts w:ascii="Calibri" w:cs="Calibri" w:eastAsia="Calibri" w:hAnsi="Calibri"/>
          <w:sz w:val="22"/>
          <w:szCs w:val="22"/>
        </w:rPr>
        <w:t xml:space="preserve"> must note the convention (SKB-DOC-01 §5 records the accepted skew).</w:t>
      </w:r>
    </w:p>
    <w:p>
      <w:pPr>
        <w:pStyle w:val="ListParagraph"/>
        <w:numPr>
          <w:ilvl w:val="0"/>
          <w:numId w:val="2"/>
        </w:numPr>
        <w:spacing w:after="40" w:before="40" w:line="264"/>
      </w:pPr>
      <w:r>
        <w:rPr>
          <w:rFonts w:ascii="Calibri" w:cs="Calibri" w:eastAsia="Calibri" w:hAnsi="Calibri"/>
          <w:b/>
          <w:bCs/>
          <w:sz w:val="22"/>
          <w:szCs w:val="22"/>
        </w:rPr>
        <w:t xml:space="preserve">Errors:</w:t>
      </w:r>
      <w:r>
        <w:rPr>
          <w:rFonts w:ascii="Calibri" w:cs="Calibri" w:eastAsia="Calibri" w:hAnsi="Calibri"/>
          <w:sz w:val="22"/>
          <w:szCs w:val="22"/>
        </w:rPr>
        <w:t xml:space="preserve"> domain rules throw </w:t>
      </w:r>
      <w:r>
        <w:rPr>
          <w:rFonts w:ascii="Consolas" w:cs="Consolas" w:eastAsia="Consolas" w:hAnsi="Consolas"/>
          <w:sz w:val="20"/>
          <w:szCs w:val="20"/>
          <w:shd w:fill="F2F2F2" w:val="clear"/>
        </w:rPr>
        <w:t xml:space="preserve">IllegalStateException</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IllegalArgumentException</w:t>
      </w:r>
      <w:r>
        <w:rPr>
          <w:rFonts w:ascii="Calibri" w:cs="Calibri" w:eastAsia="Calibri" w:hAnsi="Calibri"/>
          <w:sz w:val="22"/>
          <w:szCs w:val="22"/>
        </w:rPr>
        <w:t xml:space="preserve"> with messages written for the passenger or agent who will read them ("Bookings close 60 minutes before departure"), mapped to 4xx by the shared handler. No error message may lie about the cause.</w:t>
      </w:r>
    </w:p>
    <w:p>
      <w:pPr>
        <w:pStyle w:val="ListParagraph"/>
        <w:numPr>
          <w:ilvl w:val="0"/>
          <w:numId w:val="2"/>
        </w:numPr>
        <w:spacing w:after="40" w:before="40" w:line="264"/>
      </w:pPr>
      <w:r>
        <w:rPr>
          <w:rFonts w:ascii="Calibri" w:cs="Calibri" w:eastAsia="Calibri" w:hAnsi="Calibri"/>
          <w:b/>
          <w:bCs/>
          <w:sz w:val="22"/>
          <w:szCs w:val="22"/>
        </w:rPr>
        <w:t xml:space="preserve">Comments</w:t>
      </w:r>
      <w:r>
        <w:rPr>
          <w:rFonts w:ascii="Calibri" w:cs="Calibri" w:eastAsia="Calibri" w:hAnsi="Calibri"/>
          <w:sz w:val="22"/>
          <w:szCs w:val="22"/>
        </w:rPr>
        <w:t xml:space="preserve"> state constraints the code cannot (the </w:t>
      </w:r>
      <w:r>
        <w:rPr>
          <w:rFonts w:ascii="Calibri" w:cs="Calibri" w:eastAsia="Calibri" w:hAnsi="Calibri"/>
          <w:i/>
          <w:iCs/>
          <w:sz w:val="22"/>
          <w:szCs w:val="22"/>
        </w:rPr>
        <w:t xml:space="preserve">why</w:t>
      </w:r>
      <w:r>
        <w:rPr>
          <w:rFonts w:ascii="Calibri" w:cs="Calibri" w:eastAsia="Calibri" w:hAnsi="Calibri"/>
          <w:sz w:val="22"/>
          <w:szCs w:val="22"/>
        </w:rPr>
        <w:t xml:space="preserve">, the invariant, the rollout note) — not what the next line does.</w:t>
      </w:r>
    </w:p>
    <w:p>
      <w:pPr>
        <w:pStyle w:val="Heading1"/>
        <w:spacing w:after="160" w:before="360"/>
      </w:pPr>
      <w:r>
        <w:rPr>
          <w:rFonts w:ascii="Calibri Light" w:cs="Calibri Light" w:eastAsia="Calibri Light" w:hAnsi="Calibri Light"/>
          <w:b/>
          <w:bCs/>
          <w:color w:val="1F3864"/>
          <w:sz w:val="30"/>
          <w:szCs w:val="30"/>
        </w:rPr>
        <w:t xml:space="preserve">2. Frontend standards</w:t>
      </w:r>
    </w:p>
    <w:p>
      <w:pPr>
        <w:spacing w:after="120" w:before="60" w:line="276"/>
        <w:jc w:val="both"/>
      </w:pPr>
      <w:r>
        <w:rPr>
          <w:rFonts w:ascii="Calibri" w:cs="Calibri" w:eastAsia="Calibri" w:hAnsi="Calibri"/>
          <w:sz w:val="22"/>
          <w:szCs w:val="22"/>
        </w:rPr>
        <w:t xml:space="preserve">TypeScript strict; components in </w:t>
      </w:r>
      <w:r>
        <w:rPr>
          <w:rFonts w:ascii="Consolas" w:cs="Consolas" w:eastAsia="Consolas" w:hAnsi="Consolas"/>
          <w:sz w:val="20"/>
          <w:szCs w:val="20"/>
          <w:shd w:fill="F2F2F2" w:val="clear"/>
        </w:rPr>
        <w:t xml:space="preserve">features/&lt;area&gt;/</w:t>
      </w:r>
      <w:r>
        <w:rPr>
          <w:rFonts w:ascii="Calibri" w:cs="Calibri" w:eastAsia="Calibri" w:hAnsi="Calibri"/>
          <w:sz w:val="22"/>
          <w:szCs w:val="22"/>
        </w:rPr>
        <w:t xml:space="preserve">; API clients only in </w:t>
      </w:r>
      <w:r>
        <w:rPr>
          <w:rFonts w:ascii="Consolas" w:cs="Consolas" w:eastAsia="Consolas" w:hAnsi="Consolas"/>
          <w:sz w:val="20"/>
          <w:szCs w:val="20"/>
          <w:shd w:fill="F2F2F2" w:val="clear"/>
        </w:rPr>
        <w:t xml:space="preserve">src/api/*</w:t>
      </w:r>
      <w:r>
        <w:rPr>
          <w:rFonts w:ascii="Calibri" w:cs="Calibri" w:eastAsia="Calibri" w:hAnsi="Calibri"/>
          <w:sz w:val="22"/>
          <w:szCs w:val="22"/>
        </w:rPr>
        <w:t xml:space="preserve"> (components never fetch directly). The frontend </w:t>
      </w:r>
      <w:r>
        <w:rPr>
          <w:rFonts w:ascii="Calibri" w:cs="Calibri" w:eastAsia="Calibri" w:hAnsi="Calibri"/>
          <w:b/>
          <w:bCs/>
          <w:sz w:val="22"/>
          <w:szCs w:val="22"/>
        </w:rPr>
        <w:t xml:space="preserve">renders</w:t>
      </w:r>
      <w:r>
        <w:rPr>
          <w:rFonts w:ascii="Calibri" w:cs="Calibri" w:eastAsia="Calibri" w:hAnsi="Calibri"/>
          <w:sz w:val="22"/>
          <w:szCs w:val="22"/>
        </w:rPr>
        <w:t xml:space="preserve"> server truth — it may pre-check for UX (disable a button) but every authoritative number or window is server-computed (SKB-DOC-02 §7.6). All user-visible strings go through the i18n table; new UI must render sanely in RTL. State that must survive navigation uses the journey draft (sessionStorage) pattern.</w:t>
      </w:r>
    </w:p>
    <w:p>
      <w:pPr>
        <w:pStyle w:val="Heading1"/>
        <w:spacing w:after="160" w:before="360"/>
      </w:pPr>
      <w:r>
        <w:rPr>
          <w:rFonts w:ascii="Calibri Light" w:cs="Calibri Light" w:eastAsia="Calibri Light" w:hAnsi="Calibri Light"/>
          <w:b/>
          <w:bCs/>
          <w:color w:val="1F3864"/>
          <w:sz w:val="30"/>
          <w:szCs w:val="30"/>
        </w:rPr>
        <w:t xml:space="preserve">3. Git &amp; change control</w:t>
      </w:r>
    </w:p>
    <w:p>
      <w:pPr>
        <w:pStyle w:val="ListParagraph"/>
        <w:numPr>
          <w:ilvl w:val="0"/>
          <w:numId w:val="3"/>
        </w:numPr>
        <w:spacing w:after="40" w:before="40" w:line="264"/>
      </w:pPr>
      <w:r>
        <w:rPr>
          <w:rFonts w:ascii="Calibri" w:cs="Calibri" w:eastAsia="Calibri" w:hAnsi="Calibri"/>
          <w:sz w:val="22"/>
          <w:szCs w:val="22"/>
        </w:rPr>
        <w:t xml:space="preserve">Branches: </w:t>
      </w:r>
      <w:r>
        <w:rPr>
          <w:rFonts w:ascii="Consolas" w:cs="Consolas" w:eastAsia="Consolas" w:hAnsi="Consolas"/>
          <w:sz w:val="20"/>
          <w:szCs w:val="20"/>
          <w:shd w:fill="F2F2F2" w:val="clear"/>
        </w:rPr>
        <w:t xml:space="preserve">feature/&lt;topic&gt;</w:t>
      </w:r>
      <w:r>
        <w:rPr>
          <w:rFonts w:ascii="Calibri" w:cs="Calibri" w:eastAsia="Calibri" w:hAnsi="Calibri"/>
          <w:sz w:val="22"/>
          <w:szCs w:val="22"/>
        </w:rPr>
        <w:t xml:space="preserve"> off </w:t>
      </w:r>
      <w:r>
        <w:rPr>
          <w:rFonts w:ascii="Consolas" w:cs="Consolas" w:eastAsia="Consolas" w:hAnsi="Consolas"/>
          <w:sz w:val="20"/>
          <w:szCs w:val="20"/>
          <w:shd w:fill="F2F2F2" w:val="clear"/>
        </w:rPr>
        <w:t xml:space="preserve">main</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main</w:t>
      </w:r>
      <w:r>
        <w:rPr>
          <w:rFonts w:ascii="Calibri" w:cs="Calibri" w:eastAsia="Calibri" w:hAnsi="Calibri"/>
          <w:sz w:val="22"/>
          <w:szCs w:val="22"/>
        </w:rPr>
        <w:t xml:space="preserve"> is protected — merges by PR only, green CI required. Never push to </w:t>
      </w:r>
      <w:r>
        <w:rPr>
          <w:rFonts w:ascii="Consolas" w:cs="Consolas" w:eastAsia="Consolas" w:hAnsi="Consolas"/>
          <w:sz w:val="20"/>
          <w:szCs w:val="20"/>
          <w:shd w:fill="F2F2F2" w:val="clear"/>
        </w:rPr>
        <w:t xml:space="preserve">origin main</w:t>
      </w:r>
      <w:r>
        <w:rPr>
          <w:rFonts w:ascii="Calibri" w:cs="Calibri" w:eastAsia="Calibri" w:hAnsi="Calibri"/>
          <w:sz w:val="22"/>
          <w:szCs w:val="22"/>
        </w:rPr>
        <w:t xml:space="preserve"> from a feature branch.</w:t>
      </w:r>
    </w:p>
    <w:p>
      <w:pPr>
        <w:pStyle w:val="ListParagraph"/>
        <w:numPr>
          <w:ilvl w:val="0"/>
          <w:numId w:val="3"/>
        </w:numPr>
        <w:spacing w:after="40" w:before="40" w:line="264"/>
      </w:pPr>
      <w:r>
        <w:rPr>
          <w:rFonts w:ascii="Calibri" w:cs="Calibri" w:eastAsia="Calibri" w:hAnsi="Calibri"/>
          <w:sz w:val="22"/>
          <w:szCs w:val="22"/>
        </w:rPr>
        <w:t xml:space="preserve">Commits: conventional prefix (</w:t>
      </w:r>
      <w:r>
        <w:rPr>
          <w:rFonts w:ascii="Consolas" w:cs="Consolas" w:eastAsia="Consolas" w:hAnsi="Consolas"/>
          <w:sz w:val="20"/>
          <w:szCs w:val="20"/>
          <w:shd w:fill="F2F2F2" w:val="clear"/>
        </w:rPr>
        <w:t xml:space="preserve">feat|fix|test|docs|style|chore(scope):</w:t>
      </w:r>
      <w:r>
        <w:rPr>
          <w:rFonts w:ascii="Calibri" w:cs="Calibri" w:eastAsia="Calibri" w:hAnsi="Calibri"/>
          <w:sz w:val="22"/>
          <w:szCs w:val="22"/>
        </w:rPr>
        <w:t xml:space="preserve">), imperative subject, body explaining </w:t>
      </w:r>
      <w:r>
        <w:rPr>
          <w:rFonts w:ascii="Calibri" w:cs="Calibri" w:eastAsia="Calibri" w:hAnsi="Calibri"/>
          <w:i/>
          <w:iCs/>
          <w:sz w:val="22"/>
          <w:szCs w:val="22"/>
        </w:rPr>
        <w:t xml:space="preserve">why</w:t>
      </w:r>
      <w:r>
        <w:rPr>
          <w:rFonts w:ascii="Calibri" w:cs="Calibri" w:eastAsia="Calibri" w:hAnsi="Calibri"/>
          <w:sz w:val="22"/>
          <w:szCs w:val="22"/>
        </w:rPr>
        <w:t xml:space="preserve"> and, for fixes, the observed failure. </w:t>
      </w:r>
      <w:r>
        <w:rPr>
          <w:rFonts w:ascii="Calibri" w:cs="Calibri" w:eastAsia="Calibri" w:hAnsi="Calibri"/>
          <w:b/>
          <w:bCs/>
          <w:sz w:val="22"/>
          <w:szCs w:val="22"/>
        </w:rPr>
        <w:t xml:space="preserve">No AI attribution trailers of any kind</w:t>
      </w:r>
      <w:r>
        <w:rPr>
          <w:rFonts w:ascii="Calibri" w:cs="Calibri" w:eastAsia="Calibri" w:hAnsi="Calibri"/>
          <w:sz w:val="22"/>
          <w:szCs w:val="22"/>
        </w:rPr>
        <w:t xml:space="preserve"> (hard project rule).</w:t>
      </w:r>
    </w:p>
    <w:p>
      <w:pPr>
        <w:pStyle w:val="ListParagraph"/>
        <w:numPr>
          <w:ilvl w:val="0"/>
          <w:numId w:val="3"/>
        </w:numPr>
        <w:spacing w:after="40" w:before="40" w:line="264"/>
      </w:pPr>
      <w:r>
        <w:rPr>
          <w:rFonts w:ascii="Calibri" w:cs="Calibri" w:eastAsia="Calibri" w:hAnsi="Calibri"/>
          <w:sz w:val="22"/>
          <w:szCs w:val="22"/>
        </w:rPr>
        <w:t xml:space="preserve">One logical change per commit; migrations and their code land together.</w:t>
      </w:r>
    </w:p>
    <w:p>
      <w:pPr>
        <w:pStyle w:val="Heading1"/>
        <w:spacing w:after="160" w:before="360"/>
      </w:pPr>
      <w:r>
        <w:rPr>
          <w:rFonts w:ascii="Calibri Light" w:cs="Calibri Light" w:eastAsia="Calibri Light" w:hAnsi="Calibri Light"/>
          <w:b/>
          <w:bCs/>
          <w:color w:val="1F3864"/>
          <w:sz w:val="30"/>
          <w:szCs w:val="30"/>
        </w:rPr>
        <w:t xml:space="preserve">4. Definition of Done</w:t>
      </w:r>
    </w:p>
    <w:p>
      <w:pPr>
        <w:spacing w:after="120" w:before="60" w:line="276"/>
        <w:jc w:val="both"/>
      </w:pPr>
      <w:r>
        <w:rPr>
          <w:rFonts w:ascii="Calibri" w:cs="Calibri" w:eastAsia="Calibri" w:hAnsi="Calibri"/>
          <w:sz w:val="22"/>
          <w:szCs w:val="22"/>
        </w:rPr>
        <w:t xml:space="preserve">A change is done when </w:t>
      </w:r>
      <w:r>
        <w:rPr>
          <w:rFonts w:ascii="Calibri" w:cs="Calibri" w:eastAsia="Calibri" w:hAnsi="Calibri"/>
          <w:b/>
          <w:bCs/>
          <w:sz w:val="22"/>
          <w:szCs w:val="22"/>
        </w:rPr>
        <w:t xml:space="preserve">all</w:t>
      </w:r>
      <w:r>
        <w:rPr>
          <w:rFonts w:ascii="Calibri" w:cs="Calibri" w:eastAsia="Calibri" w:hAnsi="Calibri"/>
          <w:sz w:val="22"/>
          <w:szCs w:val="22"/>
        </w:rPr>
        <w:t xml:space="preserve"> of these hold:</w:t>
      </w:r>
    </w:p>
    <w:p>
      <w:pPr>
        <w:pStyle w:val="ListParagraph"/>
        <w:numPr>
          <w:ilvl w:val="0"/>
          <w:numId w:val="4"/>
        </w:numPr>
        <w:spacing w:after="40" w:before="40" w:line="264"/>
      </w:pPr>
      <w:r>
        <w:rPr>
          <w:rFonts w:ascii="Calibri" w:cs="Calibri" w:eastAsia="Calibri" w:hAnsi="Calibri"/>
          <w:sz w:val="22"/>
          <w:szCs w:val="22"/>
        </w:rPr>
        <w:t xml:space="preserve">LLD written/amended and reviewed (for changes in SKB-DOC-03 §1 scope).</w:t>
      </w:r>
    </w:p>
    <w:p>
      <w:pPr>
        <w:pStyle w:val="ListParagraph"/>
        <w:numPr>
          <w:ilvl w:val="0"/>
          <w:numId w:val="4"/>
        </w:numPr>
        <w:spacing w:after="40" w:before="40" w:line="264"/>
      </w:pPr>
      <w:r>
        <w:rPr>
          <w:rFonts w:ascii="Calibri" w:cs="Calibri" w:eastAsia="Calibri" w:hAnsi="Calibri"/>
          <w:sz w:val="22"/>
          <w:szCs w:val="22"/>
        </w:rPr>
        <w:t xml:space="preserve">Code + tests at the pyramid levels the QA plan requires (SKB-DOC-08 §3).</w:t>
      </w:r>
    </w:p>
    <w:p>
      <w:pPr>
        <w:pStyle w:val="ListParagraph"/>
        <w:numPr>
          <w:ilvl w:val="0"/>
          <w:numId w:val="4"/>
        </w:numPr>
        <w:spacing w:after="40" w:before="40" w:line="264"/>
      </w:pPr>
      <w:r>
        <w:rPr>
          <w:rFonts w:ascii="Calibri" w:cs="Calibri" w:eastAsia="Calibri" w:hAnsi="Calibri"/>
          <w:b/>
          <w:bCs/>
          <w:sz w:val="22"/>
          <w:szCs w:val="22"/>
        </w:rPr>
        <w:t xml:space="preserve">Verified on the running stack through the user's actual path</w:t>
      </w:r>
      <w:r>
        <w:rPr>
          <w:rFonts w:ascii="Calibri" w:cs="Calibri" w:eastAsia="Calibri" w:hAnsi="Calibri"/>
          <w:sz w:val="22"/>
          <w:szCs w:val="22"/>
        </w:rPr>
        <w:t xml:space="preserve"> — UI flows through the UI, not just the API (a standing lesson: four shipped bugs once came from API-only verification). Evidence (what was clicked, what was observed) goes in the commit or test report.</w:t>
      </w:r>
    </w:p>
    <w:p>
      <w:pPr>
        <w:pStyle w:val="ListParagraph"/>
        <w:numPr>
          <w:ilvl w:val="0"/>
          <w:numId w:val="4"/>
        </w:numPr>
        <w:spacing w:after="40" w:before="40" w:line="264"/>
      </w:pPr>
      <w:r>
        <w:rPr>
          <w:rFonts w:ascii="Calibri" w:cs="Calibri" w:eastAsia="Calibri" w:hAnsi="Calibri"/>
          <w:sz w:val="22"/>
          <w:szCs w:val="22"/>
        </w:rPr>
        <w:t xml:space="preserve">Interfaces/docs updated in the same PR (SKB-DOC-04 §6, SKB-DOC-00 §4).</w:t>
      </w:r>
    </w:p>
    <w:p>
      <w:pPr>
        <w:pStyle w:val="ListParagraph"/>
        <w:numPr>
          <w:ilvl w:val="0"/>
          <w:numId w:val="4"/>
        </w:numPr>
        <w:spacing w:after="40" w:before="40" w:line="264"/>
      </w:pPr>
      <w:r>
        <w:rPr>
          <w:rFonts w:ascii="Calibri" w:cs="Calibri" w:eastAsia="Calibri" w:hAnsi="Calibri"/>
          <w:sz w:val="22"/>
          <w:szCs w:val="22"/>
        </w:rPr>
        <w:t xml:space="preserve">CI green including the Sonar gate; no new warnings silenced without a written justification.</w:t>
      </w:r>
    </w:p>
    <w:p>
      <w:pPr>
        <w:pStyle w:val="ListParagraph"/>
        <w:numPr>
          <w:ilvl w:val="0"/>
          <w:numId w:val="4"/>
        </w:numPr>
        <w:spacing w:after="40" w:before="40" w:line="264"/>
      </w:pPr>
      <w:r>
        <w:rPr>
          <w:rFonts w:ascii="Calibri" w:cs="Calibri" w:eastAsia="Calibri" w:hAnsi="Calibri"/>
          <w:sz w:val="22"/>
          <w:szCs w:val="22"/>
        </w:rPr>
        <w:t xml:space="preserve">Verified on </w:t>
      </w:r>
      <w:r>
        <w:rPr>
          <w:rFonts w:ascii="Calibri" w:cs="Calibri" w:eastAsia="Calibri" w:hAnsi="Calibri"/>
          <w:b/>
          <w:bCs/>
          <w:sz w:val="22"/>
          <w:szCs w:val="22"/>
        </w:rPr>
        <w:t xml:space="preserve">clean state</w:t>
      </w:r>
      <w:r>
        <w:rPr>
          <w:rFonts w:ascii="Calibri" w:cs="Calibri" w:eastAsia="Calibri" w:hAnsi="Calibri"/>
          <w:sz w:val="22"/>
          <w:szCs w:val="22"/>
        </w:rPr>
        <w:t xml:space="preserve"> when the change touches build/CI/seeds — local accumulated state has masked defects before (five CI-only defects in one release; the rule exists because of them).</w:t>
      </w:r>
    </w:p>
    <w:p>
      <w:pPr>
        <w:pStyle w:val="Heading1"/>
        <w:spacing w:after="160" w:before="360"/>
      </w:pPr>
      <w:r>
        <w:rPr>
          <w:rFonts w:ascii="Calibri Light" w:cs="Calibri Light" w:eastAsia="Calibri Light" w:hAnsi="Calibri Light"/>
          <w:b/>
          <w:bCs/>
          <w:color w:val="1F3864"/>
          <w:sz w:val="30"/>
          <w:szCs w:val="30"/>
        </w:rPr>
        <w:t xml:space="preserve">5. Feature lifecycle</w:t>
      </w:r>
    </w:p>
    <w:p>
      <w:pPr>
        <w:spacing w:after="120" w:before="60" w:line="276"/>
        <w:jc w:val="both"/>
      </w:pPr>
      <w:r>
        <w:rPr>
          <w:rFonts w:ascii="Consolas" w:cs="Consolas" w:eastAsia="Consolas" w:hAnsi="Consolas"/>
          <w:sz w:val="20"/>
          <w:szCs w:val="20"/>
          <w:shd w:fill="F2F2F2" w:val="clear"/>
        </w:rPr>
        <w:t xml:space="preserve">Idea → LLD (design-by-trace, reviewed) → requirements registered in SKB-DOC-01 → build in review-sized increments → live verification → test report/RTM updated → merge → module doc gains Implementation Notes.</w:t>
      </w:r>
      <w:r>
        <w:rPr>
          <w:rFonts w:ascii="Calibri" w:cs="Calibri" w:eastAsia="Calibri" w:hAnsi="Calibri"/>
          <w:sz w:val="22"/>
          <w:szCs w:val="22"/>
        </w:rPr>
        <w:t xml:space="preserve"> For multi-step features, the LLD's build-order is executed and verified step-by-step (the round-trip module's 8-step rollout is the reference).</w:t>
      </w:r>
    </w:p>
    <w:p>
      <w:pPr>
        <w:pStyle w:val="Heading1"/>
        <w:spacing w:after="160" w:before="360"/>
      </w:pPr>
      <w:r>
        <w:rPr>
          <w:rFonts w:ascii="Calibri Light" w:cs="Calibri Light" w:eastAsia="Calibri Light" w:hAnsi="Calibri Light"/>
          <w:b/>
          <w:bCs/>
          <w:color w:val="1F3864"/>
          <w:sz w:val="30"/>
          <w:szCs w:val="30"/>
        </w:rPr>
        <w:t xml:space="preserve">6. Scripted-edit discipline</w:t>
      </w:r>
    </w:p>
    <w:p>
      <w:pPr>
        <w:spacing w:after="120" w:before="60" w:line="276"/>
        <w:jc w:val="both"/>
      </w:pPr>
      <w:r>
        <w:rPr>
          <w:rFonts w:ascii="Calibri" w:cs="Calibri" w:eastAsia="Calibri" w:hAnsi="Calibri"/>
          <w:sz w:val="22"/>
          <w:szCs w:val="22"/>
        </w:rPr>
        <w:t xml:space="preserve">When editing files by script (sed/perl/bulk refactors): </w:t>
      </w:r>
      <w:r>
        <w:rPr>
          <w:rFonts w:ascii="Calibri" w:cs="Calibri" w:eastAsia="Calibri" w:hAnsi="Calibri"/>
          <w:b/>
          <w:bCs/>
          <w:sz w:val="22"/>
          <w:szCs w:val="22"/>
        </w:rPr>
        <w:t xml:space="preserve">verify by positive grep for the new text at every site</w:t>
      </w:r>
      <w:r>
        <w:rPr>
          <w:rFonts w:ascii="Calibri" w:cs="Calibri" w:eastAsia="Calibri" w:hAnsi="Calibri"/>
          <w:sz w:val="22"/>
          <w:szCs w:val="22"/>
        </w:rPr>
        <w:t xml:space="preserve">; exit codes and "patched" logs are not evidence (CRLF/multiline misses fail silently — documented recurring trap). Background build chains must be verified by checking the </w:t>
      </w:r>
      <w:r>
        <w:rPr>
          <w:rFonts w:ascii="Calibri" w:cs="Calibri" w:eastAsia="Calibri" w:hAnsi="Calibri"/>
          <w:i/>
          <w:iCs/>
          <w:sz w:val="22"/>
          <w:szCs w:val="22"/>
        </w:rPr>
        <w:t xml:space="preserve">served artefact</w:t>
      </w:r>
      <w:r>
        <w:rPr>
          <w:rFonts w:ascii="Calibri" w:cs="Calibri" w:eastAsia="Calibri" w:hAnsi="Calibri"/>
          <w:sz w:val="22"/>
          <w:szCs w:val="22"/>
        </w:rPr>
        <w:t xml:space="preserve"> (bundle hash / marker string), not by the build's exit status.</w:t>
      </w:r>
    </w:p>
    <w:p>
      <w:pPr>
        <w:pStyle w:val="Heading1"/>
        <w:spacing w:after="160" w:before="360"/>
      </w:pPr>
      <w:r>
        <w:rPr>
          <w:rFonts w:ascii="Calibri Light" w:cs="Calibri Light" w:eastAsia="Calibri Light" w:hAnsi="Calibri Light"/>
          <w:b/>
          <w:bCs/>
          <w:color w:val="1F3864"/>
          <w:sz w:val="30"/>
          <w:szCs w:val="30"/>
        </w:rPr>
        <w:t xml:space="preserve">7. Defect handling</w:t>
      </w:r>
    </w:p>
    <w:p>
      <w:pPr>
        <w:spacing w:after="120" w:before="60" w:line="276"/>
        <w:jc w:val="both"/>
      </w:pPr>
      <w:r>
        <w:rPr>
          <w:rFonts w:ascii="Calibri" w:cs="Calibri" w:eastAsia="Calibri" w:hAnsi="Calibri"/>
          <w:sz w:val="22"/>
          <w:szCs w:val="22"/>
        </w:rPr>
        <w:t xml:space="preserve">Every user-reported defect gets: reproduction, root cause, fix, </w:t>
      </w:r>
      <w:r>
        <w:rPr>
          <w:rFonts w:ascii="Calibri" w:cs="Calibri" w:eastAsia="Calibri" w:hAnsi="Calibri"/>
          <w:b/>
          <w:bCs/>
          <w:sz w:val="22"/>
          <w:szCs w:val="22"/>
        </w:rPr>
        <w:t xml:space="preserve">a test that fails without the fix</w:t>
      </w:r>
      <w:r>
        <w:rPr>
          <w:rFonts w:ascii="Calibri" w:cs="Calibri" w:eastAsia="Calibri" w:hAnsi="Calibri"/>
          <w:sz w:val="22"/>
          <w:szCs w:val="22"/>
        </w:rPr>
        <w:t xml:space="preserve"> where the pyramid allows, live verification, and an entry in the current test report with evidence. Classification: </w:t>
      </w:r>
      <w:r>
        <w:rPr>
          <w:rFonts w:ascii="Consolas" w:cs="Consolas" w:eastAsia="Consolas" w:hAnsi="Consolas"/>
          <w:sz w:val="20"/>
          <w:szCs w:val="20"/>
          <w:shd w:fill="F2F2F2" w:val="clear"/>
        </w:rPr>
        <w:t xml:space="preserve">S1</w:t>
      </w:r>
      <w:r>
        <w:rPr>
          <w:rFonts w:ascii="Calibri" w:cs="Calibri" w:eastAsia="Calibri" w:hAnsi="Calibri"/>
          <w:sz w:val="22"/>
          <w:szCs w:val="22"/>
        </w:rPr>
        <w:t xml:space="preserve"> money/data corruption (fix before anything else), </w:t>
      </w:r>
      <w:r>
        <w:rPr>
          <w:rFonts w:ascii="Consolas" w:cs="Consolas" w:eastAsia="Consolas" w:hAnsi="Consolas"/>
          <w:sz w:val="20"/>
          <w:szCs w:val="20"/>
          <w:shd w:fill="F2F2F2" w:val="clear"/>
        </w:rPr>
        <w:t xml:space="preserve">S2</w:t>
      </w:r>
      <w:r>
        <w:rPr>
          <w:rFonts w:ascii="Calibri" w:cs="Calibri" w:eastAsia="Calibri" w:hAnsi="Calibri"/>
          <w:sz w:val="22"/>
          <w:szCs w:val="22"/>
        </w:rPr>
        <w:t xml:space="preserve"> user-blocking, </w:t>
      </w:r>
      <w:r>
        <w:rPr>
          <w:rFonts w:ascii="Consolas" w:cs="Consolas" w:eastAsia="Consolas" w:hAnsi="Consolas"/>
          <w:sz w:val="20"/>
          <w:szCs w:val="20"/>
          <w:shd w:fill="F2F2F2" w:val="clear"/>
        </w:rPr>
        <w:t xml:space="preserve">S3</w:t>
      </w:r>
      <w:r>
        <w:rPr>
          <w:rFonts w:ascii="Calibri" w:cs="Calibri" w:eastAsia="Calibri" w:hAnsi="Calibri"/>
          <w:sz w:val="22"/>
          <w:szCs w:val="22"/>
        </w:rPr>
        <w:t xml:space="preserve"> degraded, </w:t>
      </w:r>
      <w:r>
        <w:rPr>
          <w:rFonts w:ascii="Consolas" w:cs="Consolas" w:eastAsia="Consolas" w:hAnsi="Consolas"/>
          <w:sz w:val="20"/>
          <w:szCs w:val="20"/>
          <w:shd w:fill="F2F2F2" w:val="clear"/>
        </w:rPr>
        <w:t xml:space="preserve">S4</w:t>
      </w:r>
      <w:r>
        <w:rPr>
          <w:rFonts w:ascii="Calibri" w:cs="Calibri" w:eastAsia="Calibri" w:hAnsi="Calibri"/>
          <w:sz w:val="22"/>
          <w:szCs w:val="22"/>
        </w:rPr>
        <w:t xml:space="preserve"> cosmetic. Recurring root-cause classes (stale local images, silent scripted edits, API-only verification) are recorded as process rules in this handbook — that loop is our causal-analysis practice: the fix for the </w:t>
      </w:r>
      <w:r>
        <w:rPr>
          <w:rFonts w:ascii="Calibri" w:cs="Calibri" w:eastAsia="Calibri" w:hAnsi="Calibri"/>
          <w:i/>
          <w:iCs/>
          <w:sz w:val="22"/>
          <w:szCs w:val="22"/>
        </w:rPr>
        <w:t xml:space="preserve">class</w:t>
      </w:r>
      <w:r>
        <w:rPr>
          <w:rFonts w:ascii="Calibri" w:cs="Calibri" w:eastAsia="Calibri" w:hAnsi="Calibri"/>
          <w:sz w:val="22"/>
          <w:szCs w:val="22"/>
        </w:rPr>
        <w:t xml:space="preserve">, not just the instance.</w:t>
      </w:r>
    </w:p>
    <w:p>
      <w:pPr>
        <w:pStyle w:val="Heading1"/>
        <w:spacing w:after="160" w:before="360"/>
      </w:pPr>
      <w:r>
        <w:rPr>
          <w:rFonts w:ascii="Calibri Light" w:cs="Calibri Light" w:eastAsia="Calibri Light" w:hAnsi="Calibri Light"/>
          <w:b/>
          <w:bCs/>
          <w:color w:val="1F3864"/>
          <w:sz w:val="30"/>
          <w:szCs w:val="30"/>
        </w:rPr>
        <w:t xml:space="preserve">8. Code &amp; design review</w:t>
      </w:r>
    </w:p>
    <w:p>
      <w:pPr>
        <w:spacing w:after="120" w:before="60" w:line="276"/>
        <w:jc w:val="both"/>
      </w:pPr>
      <w:r>
        <w:rPr>
          <w:rFonts w:ascii="Calibri" w:cs="Calibri" w:eastAsia="Calibri" w:hAnsi="Calibri"/>
          <w:sz w:val="22"/>
          <w:szCs w:val="22"/>
        </w:rPr>
        <w:t xml:space="preserve">One approving review minimum. Reviewers verify, in order: correctness against the LLD, failure paths and compensation, security class of any new endpoint (SKB-DOC-06 §7.1), event-contract compatibility (SKB-DOC-04 §5.4), tests at the right level, and documentation updated. Review comments that request style changes contrary to this handbook are resolved by the handbook, not by debate.</w:t>
      </w:r>
    </w:p>
    <w:p>
      <w:pPr>
        <w:pStyle w:val="Heading1"/>
        <w:spacing w:after="160" w:before="360"/>
      </w:pPr>
      <w:r>
        <w:rPr>
          <w:rFonts w:ascii="Calibri Light" w:cs="Calibri Light" w:eastAsia="Calibri Light" w:hAnsi="Calibri Light"/>
          <w:b/>
          <w:bCs/>
          <w:color w:val="1F3864"/>
          <w:sz w:val="30"/>
          <w:szCs w:val="30"/>
        </w:rPr>
        <w:t xml:space="preserve">9. Documentation upkeep</w:t>
      </w:r>
    </w:p>
    <w:p>
      <w:pPr>
        <w:spacing w:after="120" w:before="60" w:line="276"/>
        <w:jc w:val="both"/>
      </w:pPr>
      <w:r>
        <w:rPr>
          <w:rFonts w:ascii="Calibri" w:cs="Calibri" w:eastAsia="Calibri" w:hAnsi="Calibri"/>
          <w:sz w:val="22"/>
          <w:szCs w:val="22"/>
        </w:rPr>
        <w:t xml:space="preserve">Docs are code: PR-reviewed, versioned, and subject to the precedence rule in SKB-DOC-00 §2. If implementation diverges from a design mid-build, the design is amended </w:t>
      </w:r>
      <w:r>
        <w:rPr>
          <w:rFonts w:ascii="Calibri" w:cs="Calibri" w:eastAsia="Calibri" w:hAnsi="Calibri"/>
          <w:i/>
          <w:iCs/>
          <w:sz w:val="22"/>
          <w:szCs w:val="22"/>
        </w:rPr>
        <w:t xml:space="preserve">first</w:t>
      </w:r>
      <w:r>
        <w:rPr>
          <w:rFonts w:ascii="Calibri" w:cs="Calibri" w:eastAsia="Calibri" w:hAnsi="Calibri"/>
          <w:sz w:val="22"/>
          <w:szCs w:val="22"/>
        </w:rPr>
        <w:t xml:space="preserve">, then the code proceeds. Stale documentation is raised and fixed like a defect.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pBdr>
      <w:tabs>
        <w:tab w:val="right" w:pos="9638"/>
      </w:tabs>
    </w:pPr>
    <w:r>
      <w:rPr>
        <w:rFonts w:ascii="Calibri" w:cs="Calibri" w:eastAsia="Calibri" w:hAnsi="Calibri"/>
        <w:color w:val="595959"/>
        <w:sz w:val="16"/>
        <w:szCs w:val="16"/>
      </w:rPr>
      <w:t xml:space="preserve">Internal — Engineering · Uncontrolled when printed</w:t>
    </w:r>
    <w:r>
      <w:rPr>
        <w:rFonts w:ascii="Calibri" w:cs="Calibri" w:eastAsia="Calibri" w:hAnsi="Calibri"/>
        <w:color w:val="595959"/>
        <w:sz w:val="16"/>
        <w:szCs w:val="16"/>
      </w:rPr>
      <w:t xml:space="preserve">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pBdr>
      <w:tabs>
        <w:tab w:val="right" w:pos="9638"/>
      </w:tabs>
    </w:pPr>
    <w:r>
      <w:rPr>
        <w:rFonts w:ascii="Calibri" w:cs="Calibri" w:eastAsia="Calibri" w:hAnsi="Calibri"/>
        <w:color w:val="595959"/>
        <w:sz w:val="16"/>
        <w:szCs w:val="16"/>
      </w:rPr>
      <w:t xml:space="preserve">SkyBook Engineering Documentation</w:t>
    </w:r>
    <w:r>
      <w:rPr>
        <w:rFonts w:ascii="Calibri" w:cs="Calibri" w:eastAsia="Calibri" w:hAnsi="Calibri"/>
        <w:b/>
        <w:bCs/>
        <w:color w:val="595959"/>
        <w:sz w:val="16"/>
        <w:szCs w:val="16"/>
      </w:rPr>
      <w:t xml:space="preserve">	SKB-DOC-07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decimal"/>
      <w:lvlText w:val="%1."/>
      <w:lvlJc w:val="left"/>
      <w:pPr>
        <w:ind w:left="480" w:hanging="300"/>
      </w:pPr>
    </w:lvl>
  </w:abstractNum>
  <w:abstractNum w:abstractNumId="5" w15:restartNumberingAfterBreak="0">
    <w:multiLevelType w:val="hybridMultilevel"/>
    <w:lvl w:ilvl="0" w15:tentative="1">
      <w:start w:val="1"/>
      <w:numFmt w:val="decimal"/>
      <w:lvlText w:val="%1."/>
      <w:lvlJc w:val="left"/>
      <w:pPr>
        <w:ind w:left="480" w:hanging="300"/>
      </w:pPr>
    </w:lvl>
  </w:abstractNum>
  <w:abstractNum w:abstractNumId="6" w15:restartNumberingAfterBreak="0">
    <w:multiLevelType w:val="hybridMultilevel"/>
    <w:lvl w:ilvl="0" w15:tentative="1">
      <w:start w:val="1"/>
      <w:numFmt w:val="decimal"/>
      <w:lvlText w:val="%1."/>
      <w:lvlJc w:val="left"/>
      <w:pPr>
        <w:ind w:left="480" w:hanging="300"/>
      </w:pPr>
    </w:lvl>
  </w:abstractNum>
  <w:abstractNum w:abstractNumId="7" w15:restartNumberingAfterBreak="0">
    <w:multiLevelType w:val="hybridMultilevel"/>
    <w:lvl w:ilvl="0" w15:tentative="1">
      <w:start w:val="1"/>
      <w:numFmt w:val="decimal"/>
      <w:lvlText w:val="%1."/>
      <w:lvlJc w:val="left"/>
      <w:pPr>
        <w:ind w:left="480" w:hanging="300"/>
      </w:pPr>
    </w:lvl>
  </w:abstractNum>
  <w:abstractNum w:abstractNumId="8" w15:restartNumberingAfterBreak="0">
    <w:multiLevelType w:val="hybridMultilevel"/>
    <w:lvl w:ilvl="0" w15:tentative="1">
      <w:start w:val="1"/>
      <w:numFmt w:val="decimal"/>
      <w:lvlText w:val="%1."/>
      <w:lvlJc w:val="left"/>
      <w:pPr>
        <w:ind w:left="480" w:hanging="300"/>
      </w:pPr>
    </w:lvl>
  </w:abstractNum>
  <w:abstractNum w:abstractNumId="9" w15:restartNumberingAfterBreak="0">
    <w:multiLevelType w:val="hybridMultilevel"/>
    <w:lvl w:ilvl="0" w15:tentative="1">
      <w:start w:val="1"/>
      <w:numFmt w:val="decimal"/>
      <w:lvlText w:val="%1."/>
      <w:lvlJc w:val="left"/>
      <w:pPr>
        <w:ind w:left="480" w:hanging="300"/>
      </w:pPr>
    </w:lvl>
  </w:abstractNum>
  <w:abstractNum w:abstractNumId="10" w15:restartNumberingAfterBreak="0">
    <w:multiLevelType w:val="hybridMultilevel"/>
    <w:lvl w:ilvl="0" w15:tentative="1">
      <w:start w:val="1"/>
      <w:numFmt w:val="decimal"/>
      <w:lvlText w:val="%1."/>
      <w:lvlJc w:val="left"/>
      <w:pPr>
        <w:ind w:left="480" w:hanging="300"/>
      </w:pPr>
    </w:lvl>
  </w:abstractNum>
  <w:abstractNum w:abstractNumId="11" w15:restartNumberingAfterBreak="0">
    <w:multiLevelType w:val="hybridMultilevel"/>
    <w:lvl w:ilvl="0" w15:tentative="1">
      <w:start w:val="1"/>
      <w:numFmt w:val="decimal"/>
      <w:lvlText w:val="%1."/>
      <w:lvlJc w:val="left"/>
      <w:pPr>
        <w:ind w:left="480" w:hanging="300"/>
      </w:pPr>
    </w:lvl>
  </w:abstractNum>
  <w:abstractNum w:abstractNumId="12" w15:restartNumberingAfterBreak="0">
    <w:multiLevelType w:val="hybridMultilevel"/>
    <w:lvl w:ilvl="0" w15:tentative="1">
      <w:start w:val="1"/>
      <w:numFmt w:val="decimal"/>
      <w:lvlText w:val="%1."/>
      <w:lvlJc w:val="left"/>
      <w:pPr>
        <w:ind w:left="480" w:hanging="300"/>
      </w:pPr>
    </w:lvl>
  </w:abstractNum>
  <w:abstractNum w:abstractNumId="13" w15:restartNumberingAfterBreak="0">
    <w:multiLevelType w:val="hybridMultilevel"/>
    <w:lvl w:ilvl="0" w15:tentative="1">
      <w:start w:val="1"/>
      <w:numFmt w:val="decimal"/>
      <w:lvlText w:val="%1."/>
      <w:lvlJc w:val="left"/>
      <w:pPr>
        <w:ind w:left="480" w:hanging="300"/>
      </w:pPr>
    </w:lvl>
  </w:abstractNum>
  <w:abstractNum w:abstractNumId="14" w15:restartNumberingAfterBreak="0">
    <w:multiLevelType w:val="hybridMultilevel"/>
    <w:lvl w:ilvl="0" w15:tentative="1">
      <w:start w:val="1"/>
      <w:numFmt w:val="decimal"/>
      <w:lvlText w:val="%1."/>
      <w:lvlJc w:val="left"/>
      <w:pPr>
        <w:ind w:left="480" w:hanging="300"/>
      </w:pPr>
    </w:lvl>
  </w:abstractNum>
  <w:abstractNum w:abstractNumId="15" w15:restartNumberingAfterBreak="0">
    <w:multiLevelType w:val="hybridMultilevel"/>
    <w:lvl w:ilvl="0" w15:tentative="1">
      <w:start w:val="1"/>
      <w:numFmt w:val="decimal"/>
      <w:lvlText w:val="%1."/>
      <w:lvlJc w:val="left"/>
      <w:pPr>
        <w:ind w:left="480" w:hanging="300"/>
      </w:pPr>
    </w:lvl>
  </w:abstractNum>
  <w:abstractNum w:abstractNumId="16" w15:restartNumberingAfterBreak="0">
    <w:multiLevelType w:val="hybridMultilevel"/>
    <w:lvl w:ilvl="0" w15:tentative="1">
      <w:start w:val="1"/>
      <w:numFmt w:val="decimal"/>
      <w:lvlText w:val="%1."/>
      <w:lvlJc w:val="left"/>
      <w:pPr>
        <w:ind w:left="480" w:hanging="300"/>
      </w:pPr>
    </w:lvl>
  </w:abstractNum>
  <w:abstractNum w:abstractNumId="17" w15:restartNumberingAfterBreak="0">
    <w:multiLevelType w:val="hybridMultilevel"/>
    <w:lvl w:ilvl="0" w15:tentative="1">
      <w:start w:val="1"/>
      <w:numFmt w:val="decimal"/>
      <w:lvlText w:val="%1."/>
      <w:lvlJc w:val="left"/>
      <w:pPr>
        <w:ind w:left="480" w:hanging="300"/>
      </w:pPr>
    </w:lvl>
  </w:abstractNum>
  <w:abstractNum w:abstractNumId="18" w15:restartNumberingAfterBreak="0">
    <w:multiLevelType w:val="hybridMultilevel"/>
    <w:lvl w:ilvl="0" w15:tentative="1">
      <w:start w:val="1"/>
      <w:numFmt w:val="decimal"/>
      <w:lvlText w:val="%1."/>
      <w:lvlJc w:val="left"/>
      <w:pPr>
        <w:ind w:left="480" w:hanging="300"/>
      </w:pPr>
    </w:lvl>
  </w:abstractNum>
  <w:abstractNum w:abstractNumId="19" w15:restartNumberingAfterBreak="0">
    <w:multiLevelType w:val="hybridMultilevel"/>
    <w:lvl w:ilvl="0" w15:tentative="1">
      <w:start w:val="1"/>
      <w:numFmt w:val="decimal"/>
      <w:lvlText w:val="%1."/>
      <w:lvlJc w:val="left"/>
      <w:pPr>
        <w:ind w:left="480" w:hanging="300"/>
      </w:pPr>
    </w:lvl>
  </w:abstractNum>
  <w:abstractNum w:abstractNumId="20" w15:restartNumberingAfterBreak="0">
    <w:multiLevelType w:val="hybridMultilevel"/>
    <w:lvl w:ilvl="0" w15:tentative="1">
      <w:start w:val="1"/>
      <w:numFmt w:val="decimal"/>
      <w:lvlText w:val="%1."/>
      <w:lvlJc w:val="left"/>
      <w:pPr>
        <w:ind w:left="480" w:hanging="300"/>
      </w:pPr>
    </w:lvl>
  </w:abstractNum>
  <w:abstractNum w:abstractNumId="21" w15:restartNumberingAfterBreak="0">
    <w:multiLevelType w:val="hybridMultilevel"/>
    <w:lvl w:ilvl="0" w15:tentative="1">
      <w:start w:val="1"/>
      <w:numFmt w:val="decimal"/>
      <w:lvlText w:val="%1."/>
      <w:lvlJc w:val="left"/>
      <w:pPr>
        <w:ind w:left="480" w:hanging="300"/>
      </w:pPr>
    </w:lvl>
  </w:abstractNum>
  <w:abstractNum w:abstractNumId="22" w15:restartNumberingAfterBreak="0">
    <w:multiLevelType w:val="hybridMultilevel"/>
    <w:lvl w:ilvl="0" w15:tentative="1">
      <w:start w:val="1"/>
      <w:numFmt w:val="decimal"/>
      <w:lvlText w:val="%1."/>
      <w:lvlJc w:val="left"/>
      <w:pPr>
        <w:ind w:left="480" w:hanging="300"/>
      </w:pPr>
    </w:lvl>
  </w:abstractNum>
  <w:abstractNum w:abstractNumId="23" w15:restartNumberingAfterBreak="0">
    <w:multiLevelType w:val="hybridMultilevel"/>
    <w:lvl w:ilvl="0" w15:tentative="1">
      <w:start w:val="1"/>
      <w:numFmt w:val="decimal"/>
      <w:lvlText w:val="%1."/>
      <w:lvlJc w:val="left"/>
      <w:pPr>
        <w:ind w:left="480" w:hanging="300"/>
      </w:pPr>
    </w:lvl>
  </w:abstractNum>
  <w:abstractNum w:abstractNumId="24" w15:restartNumberingAfterBreak="0">
    <w:multiLevelType w:val="hybridMultilevel"/>
    <w:lvl w:ilvl="0" w15:tentative="1">
      <w:start w:val="1"/>
      <w:numFmt w:val="decimal"/>
      <w:lvlText w:val="%1."/>
      <w:lvlJc w:val="left"/>
      <w:pPr>
        <w:ind w:left="480" w:hanging="300"/>
      </w:pPr>
    </w:lvl>
  </w:abstractNum>
  <w:abstractNum w:abstractNumId="25" w15:restartNumberingAfterBreak="0">
    <w:multiLevelType w:val="hybridMultilevel"/>
    <w:lvl w:ilvl="0" w15:tentative="1">
      <w:start w:val="1"/>
      <w:numFmt w:val="decimal"/>
      <w:lvlText w:val="%1."/>
      <w:lvlJc w:val="left"/>
      <w:pPr>
        <w:ind w:left="480" w:hanging="300"/>
      </w:pPr>
    </w:lvl>
  </w:abstractNum>
  <w:abstractNum w:abstractNumId="26" w15:restartNumberingAfterBreak="0">
    <w:multiLevelType w:val="hybridMultilevel"/>
    <w:lvl w:ilvl="0" w15:tentative="1">
      <w:start w:val="1"/>
      <w:numFmt w:val="decimal"/>
      <w:lvlText w:val="%1."/>
      <w:lvlJc w:val="left"/>
      <w:pPr>
        <w:ind w:left="480" w:hanging="300"/>
      </w:pPr>
    </w:lvl>
  </w:abstractNum>
  <w:abstractNum w:abstractNumId="27" w15:restartNumberingAfterBreak="0">
    <w:multiLevelType w:val="hybridMultilevel"/>
    <w:lvl w:ilvl="0" w15:tentative="1">
      <w:start w:val="1"/>
      <w:numFmt w:val="decimal"/>
      <w:lvlText w:val="%1."/>
      <w:lvlJc w:val="left"/>
      <w:pPr>
        <w:ind w:left="480" w:hanging="300"/>
      </w:pPr>
    </w:lvl>
  </w:abstractNum>
  <w:abstractNum w:abstractNumId="28" w15:restartNumberingAfterBreak="0">
    <w:multiLevelType w:val="hybridMultilevel"/>
    <w:lvl w:ilvl="0" w15:tentative="1">
      <w:start w:val="1"/>
      <w:numFmt w:val="decimal"/>
      <w:lvlText w:val="%1."/>
      <w:lvlJc w:val="left"/>
      <w:pPr>
        <w:ind w:left="480" w:hanging="300"/>
      </w:pPr>
    </w:lvl>
  </w:abstractNum>
  <w:abstractNum w:abstractNumId="29" w15:restartNumberingAfterBreak="0">
    <w:multiLevelType w:val="hybridMultilevel"/>
    <w:lvl w:ilvl="0" w15:tentative="1">
      <w:start w:val="1"/>
      <w:numFmt w:val="decimal"/>
      <w:lvlText w:val="%1."/>
      <w:lvlJc w:val="left"/>
      <w:pPr>
        <w:ind w:left="480" w:hanging="300"/>
      </w:pPr>
    </w:lvl>
  </w:abstractNum>
  <w:abstractNum w:abstractNumId="30" w15:restartNumberingAfterBreak="0">
    <w:multiLevelType w:val="hybridMultilevel"/>
    <w:lvl w:ilvl="0" w15:tentative="1">
      <w:start w:val="1"/>
      <w:numFmt w:val="decimal"/>
      <w:lvlText w:val="%1."/>
      <w:lvlJc w:val="left"/>
      <w:pPr>
        <w:ind w:left="480" w:hanging="300"/>
      </w:pPr>
    </w:lvl>
  </w:abstractNum>
  <w:abstractNum w:abstractNumId="31" w15:restartNumberingAfterBreak="0">
    <w:multiLevelType w:val="hybridMultilevel"/>
    <w:lvl w:ilvl="0" w15:tentative="1">
      <w:start w:val="1"/>
      <w:numFmt w:val="decimal"/>
      <w:lvlText w:val="%1."/>
      <w:lvlJc w:val="left"/>
      <w:pPr>
        <w:ind w:left="480" w:hanging="300"/>
      </w:pPr>
    </w:lvl>
  </w:abstractNum>
  <w:abstractNum w:abstractNumId="32" w15:restartNumberingAfterBreak="0">
    <w:multiLevelType w:val="hybridMultilevel"/>
    <w:lvl w:ilvl="0" w15:tentative="1">
      <w:start w:val="1"/>
      <w:numFmt w:val="decimal"/>
      <w:lvlText w:val="%1."/>
      <w:lvlJc w:val="left"/>
      <w:pPr>
        <w:ind w:left="480" w:hanging="300"/>
      </w:pPr>
    </w:lvl>
  </w:abstractNum>
  <w:abstractNum w:abstractNumId="33" w15:restartNumberingAfterBreak="0">
    <w:multiLevelType w:val="hybridMultilevel"/>
    <w:lvl w:ilvl="0" w15:tentative="1">
      <w:start w:val="1"/>
      <w:numFmt w:val="decimal"/>
      <w:lvlText w:val="%1."/>
      <w:lvlJc w:val="left"/>
      <w:pPr>
        <w:ind w:left="480" w:hanging="300"/>
      </w:pPr>
    </w:lvl>
  </w:abstractNum>
  <w:abstractNum w:abstractNumId="34" w15:restartNumberingAfterBreak="0">
    <w:multiLevelType w:val="hybridMultilevel"/>
    <w:lvl w:ilvl="0" w15:tentative="1">
      <w:start w:val="1"/>
      <w:numFmt w:val="decimal"/>
      <w:lvlText w:val="%1."/>
      <w:lvlJc w:val="left"/>
      <w:pPr>
        <w:ind w:left="480" w:hanging="300"/>
      </w:pPr>
    </w:lvl>
  </w:abstractNum>
  <w:abstractNum w:abstractNumId="35" w15:restartNumberingAfterBreak="0">
    <w:multiLevelType w:val="hybridMultilevel"/>
    <w:lvl w:ilvl="0" w15:tentative="1">
      <w:start w:val="1"/>
      <w:numFmt w:val="decimal"/>
      <w:lvlText w:val="%1."/>
      <w:lvlJc w:val="left"/>
      <w:pPr>
        <w:ind w:left="480" w:hanging="300"/>
      </w:pPr>
    </w:lvl>
  </w:abstractNum>
  <w:abstractNum w:abstractNumId="36" w15:restartNumberingAfterBreak="0">
    <w:multiLevelType w:val="hybridMultilevel"/>
    <w:lvl w:ilvl="0" w15:tentative="1">
      <w:start w:val="1"/>
      <w:numFmt w:val="decimal"/>
      <w:lvlText w:val="%1."/>
      <w:lvlJc w:val="left"/>
      <w:pPr>
        <w:ind w:left="480" w:hanging="300"/>
      </w:pPr>
    </w:lvl>
  </w:abstractNum>
  <w:abstractNum w:abstractNumId="37" w15:restartNumberingAfterBreak="0">
    <w:multiLevelType w:val="hybridMultilevel"/>
    <w:lvl w:ilvl="0" w15:tentative="1">
      <w:start w:val="1"/>
      <w:numFmt w:val="decimal"/>
      <w:lvlText w:val="%1."/>
      <w:lvlJc w:val="left"/>
      <w:pPr>
        <w:ind w:left="480" w:hanging="300"/>
      </w:pPr>
    </w:lvl>
  </w:abstractNum>
  <w:abstractNum w:abstractNumId="38" w15:restartNumberingAfterBreak="0">
    <w:multiLevelType w:val="hybridMultilevel"/>
    <w:lvl w:ilvl="0" w15:tentative="1">
      <w:start w:val="1"/>
      <w:numFmt w:val="decimal"/>
      <w:lvlText w:val="%1."/>
      <w:lvlJc w:val="left"/>
      <w:pPr>
        <w:ind w:left="480" w:hanging="300"/>
      </w:pPr>
    </w:lvl>
  </w:abstractNum>
  <w:abstractNum w:abstractNumId="39" w15:restartNumberingAfterBreak="0">
    <w:multiLevelType w:val="hybridMultilevel"/>
    <w:lvl w:ilvl="0" w15:tentative="1">
      <w:start w:val="1"/>
      <w:numFmt w:val="decimal"/>
      <w:lvlText w:val="%1."/>
      <w:lvlJc w:val="left"/>
      <w:pPr>
        <w:ind w:left="480" w:hanging="300"/>
      </w:pPr>
    </w:lvl>
  </w:abstractNum>
  <w:abstractNum w:abstractNumId="40" w15:restartNumberingAfterBreak="0">
    <w:multiLevelType w:val="hybridMultilevel"/>
    <w:lvl w:ilvl="0" w15:tentative="1">
      <w:start w:val="1"/>
      <w:numFmt w:val="decimal"/>
      <w:lvlText w:val="%1."/>
      <w:lvlJc w:val="left"/>
      <w:pPr>
        <w:ind w:left="480" w:hanging="300"/>
      </w:pPr>
    </w:lvl>
  </w:abstractNum>
  <w:abstractNum w:abstractNumId="41" w15:restartNumberingAfterBreak="0">
    <w:multiLevelType w:val="hybridMultilevel"/>
    <w:lvl w:ilvl="0" w15:tentative="1">
      <w:start w:val="1"/>
      <w:numFmt w:val="decimal"/>
      <w:lvlText w:val="%1."/>
      <w:lvlJc w:val="left"/>
      <w:pPr>
        <w:ind w:left="480" w:hanging="300"/>
      </w:pPr>
    </w:lvl>
  </w:abstractNum>
  <w:abstractNum w:abstractNumId="42" w15:restartNumberingAfterBreak="0">
    <w:multiLevelType w:val="hybridMultilevel"/>
    <w:lvl w:ilvl="0" w15:tentative="1">
      <w:start w:val="1"/>
      <w:numFmt w:val="decimal"/>
      <w:lvlText w:val="%1."/>
      <w:lvlJc w:val="left"/>
      <w:pPr>
        <w:ind w:left="480" w:hanging="300"/>
      </w:pPr>
    </w:lvl>
  </w:abstractNum>
  <w:abstractNum w:abstractNumId="4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43"/>
    <w:lvlOverride w:ilvl="0">
      <w:startOverride w:val="1"/>
    </w:lvlOverride>
  </w:num>
  <w:num w:numId="3">
    <w:abstractNumId w:val="2"/>
    <w:lvlOverride w:ilvl="0">
      <w:startOverride w:val="1"/>
    </w:lvlOverride>
  </w:num>
  <w:num w:numId="4">
    <w:abstractNumId w:val="4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F3864"/>
      <w:sz w:val="30"/>
      <w:szCs w:val="30"/>
    </w:rPr>
  </w:style>
  <w:style w:type="paragraph" w:styleId="Heading2">
    <w:name w:val="Heading 2"/>
    <w:basedOn w:val="Normal"/>
    <w:next w:val="Normal"/>
    <w:qFormat/>
    <w:pPr>
      <w:spacing w:after="120" w:before="280"/>
      <w:outlineLvl w:val="1"/>
    </w:pPr>
    <w:rPr>
      <w:rFonts w:ascii="Calibri Light" w:cs="Calibri Light" w:eastAsia="Calibri Light" w:hAnsi="Calibri Light"/>
      <w:b/>
      <w:bCs/>
      <w:color w:val="2E5395"/>
      <w:sz w:val="26"/>
      <w:szCs w:val="26"/>
    </w:rPr>
  </w:style>
  <w:style w:type="paragraph" w:styleId="Heading3">
    <w:name w:val="Heading 3"/>
    <w:basedOn w:val="Normal"/>
    <w:next w:val="Normal"/>
    <w:qFormat/>
    <w:pPr>
      <w:spacing w:after="100" w:before="220"/>
      <w:outlineLvl w:val="2"/>
    </w:pPr>
    <w:rPr>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SKB-DOC-07 — Engineering Handbook (Standards &amp; Process)</dc:title>
  <dc:creator>SkyBook Platform Engineering</dc:creator>
  <dc:description>SkyBook governed engineering documentation</dc:description>
  <cp:lastModifiedBy>Un-named</cp:lastModifiedBy>
  <cp:revision>1</cp:revision>
  <dcterms:created xsi:type="dcterms:W3CDTF">2026-08-15T11:07:11.433Z</dcterms:created>
  <dcterms:modified xsi:type="dcterms:W3CDTF">2026-08-15T11:07:11.433Z</dcterms:modified>
</cp:coreProperties>
</file>

<file path=docProps/custom.xml><?xml version="1.0" encoding="utf-8"?>
<Properties xmlns="http://schemas.openxmlformats.org/officeDocument/2006/custom-properties" xmlns:vt="http://schemas.openxmlformats.org/officeDocument/2006/docPropsVTypes"/>
</file>