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libri Light" w:cs="Calibri Light" w:eastAsia="Calibri Light" w:hAnsi="Calibri Light"/>
          <w:color w:val="595959"/>
          <w:sz w:val="28"/>
          <w:szCs w:val="28"/>
        </w:rPr>
        <w:t xml:space="preserve">SkyBook Airline Reservation Platform</w:t>
      </w:r>
    </w:p>
    <w:p>
      <w:pPr>
        <w:spacing w:after="60" w:before="120"/>
      </w:pPr>
      <w:r>
        <w:rPr>
          <w:rFonts w:ascii="Calibri Light" w:cs="Calibri Light" w:eastAsia="Calibri Light" w:hAnsi="Calibri Light"/>
          <w:b/>
          <w:bCs/>
          <w:color w:val="2E5395"/>
          <w:sz w:val="32"/>
          <w:szCs w:val="32"/>
        </w:rPr>
        <w:t xml:space="preserve">SKB-DOC-08</w:t>
      </w:r>
    </w:p>
    <w:p>
      <w:pPr>
        <w:pBdr>
          <w:bottom w:val="single" w:color="1F3864" w:sz="12"/>
        </w:pBdr>
        <w:spacing w:after="300" w:before="0"/>
      </w:pPr>
      <w:r>
        <w:rPr>
          <w:rFonts w:ascii="Calibri Light" w:cs="Calibri Light" w:eastAsia="Calibri Light" w:hAnsi="Calibri Light"/>
          <w:b/>
          <w:bCs/>
          <w:color w:val="1F3864"/>
          <w:sz w:val="56"/>
          <w:szCs w:val="56"/>
        </w:rPr>
        <w:t xml:space="preserve">Quality Assurance Plan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 ID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SKB-DOC-08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Baselined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Platform Engineering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2026-08-01</w:t>
            </w:r>
          </w:p>
        </w:tc>
      </w:tr>
    </w:tbl>
    <w:p>
      <w:pPr>
        <w:spacing w:after="120" w:before="3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1. Quality objectives (quantitative)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Objective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Current baseline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Measured by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Line coverage (combined unit+IT)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≥ 80% overall; ≥ 80% on new code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91.2%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JaCoCo → SonarCloud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 bugs / vulnerabilities (static)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SonarCloud gate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 suites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100% green on every merge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green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mvn verify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 suite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100% green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54/54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Vitest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Release certification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E2E suite green against a fresh stack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 release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E2E_CERTIFICATION_MODULE.md</w:t>
            </w:r>
          </w:p>
        </w:tc>
      </w:tr>
    </w:tbl>
    <w:p>
      <w:pPr>
        <w:spacing w:after="120"/>
      </w:pP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Sonar quality gate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blocking</w:t>
      </w:r>
      <w:r>
        <w:rPr>
          <w:rFonts w:ascii="Calibri" w:cs="Calibri" w:eastAsia="Calibri" w:hAnsi="Calibri"/>
          <w:sz w:val="22"/>
          <w:szCs w:val="22"/>
        </w:rPr>
        <w:t xml:space="preserve">: a red gate stops the merge, no exceptions without a written waiver in the PR approved by the owner.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2. Test pyramid (what exists and what each level is for)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Location / tooling</w:t>
            </w:r>
          </w:p>
        </w:tc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 &amp; binding examples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Domain unit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src/test/.../domain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plain JUnit+AssertJ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Pure policy classes,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sides of every boundary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(CancellationPolicyTest tests 71h/73h, not just "before/after")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Service unit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Mockito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Transaction-shaped logic, state machines, compensation ordering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 slice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WebMvc tests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Binding, guards, error mapping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Persistence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Testcontainers + real PostgreSQL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JPA mappings, migrations, queries against the real dialect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Kafka integration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Testcontainers full-stack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Producer→consumer round trips, DLT behaviour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Concurrency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Dedicated race tests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Money invariants under contention (exactly-one-refund)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Rendered-artefact regression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Real renderer + extractor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emailed PDF pass rendered through openhtmltopdf and text-asserted with PDFBox; the e-ticket captured-file test asserting £ amounts and coupons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Certification E2E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E2E_CERTIFICATION_MODULE.md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Whole-stack passenger journeys on a clean deployment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Live verification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Manual, evidenced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DoD §4.3 — through the user's actual path, recorded in the test report</w:t>
            </w:r>
          </w:p>
        </w:tc>
      </w:tr>
    </w:tbl>
    <w:p>
      <w:pPr>
        <w:spacing w:after="120"/>
      </w:pP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Placement rule: test at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lowest level that can catch the defect</w:t>
      </w:r>
      <w:r>
        <w:rPr>
          <w:rFonts w:ascii="Calibri" w:cs="Calibri" w:eastAsia="Calibri" w:hAnsi="Calibri"/>
          <w:sz w:val="22"/>
          <w:szCs w:val="22"/>
        </w:rPr>
        <w:t xml:space="preserve">; a bug found in E2E that a unit test could have caught requires that unit test in the fix.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3. What must be tested for every change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New/changed policy or calculation ⇒ domain units incl. boundary values on both sides.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New endpoint ⇒ web-slice test for guards (owner, role) + happy path.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New event or field ⇒ consumer test incl. duplicate delivery and the absent-field (legacy event) case.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Bug fix ⇒ regression test that fails without the fix (§2 placement rule), or a written reason why no level can express it.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sz w:val="22"/>
          <w:szCs w:val="22"/>
        </w:rPr>
        <w:t xml:space="preserve">Anything touching money ⇒ the arithmetic identity test (refund + fees == paid) and, where concurrent, a race test.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4. Verification evidence &amp; reporting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Feature rounds produce a test report (current: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docs/TEST_REPORT_PASSENGER_FEATURES.md</w:t>
      </w:r>
      <w:r>
        <w:rPr>
          <w:rFonts w:ascii="Calibri" w:cs="Calibri" w:eastAsia="Calibri" w:hAnsi="Calibri"/>
          <w:sz w:val="22"/>
          <w:szCs w:val="22"/>
        </w:rPr>
        <w:t xml:space="preserve">) whose format is binding: what was tested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against the running system</w:t>
      </w:r>
      <w:r>
        <w:rPr>
          <w:rFonts w:ascii="Calibri" w:cs="Calibri" w:eastAsia="Calibri" w:hAnsi="Calibri"/>
          <w:sz w:val="22"/>
          <w:szCs w:val="22"/>
        </w:rPr>
        <w:t xml:space="preserve">, per-item concrete evidence (PNRs, amounts, HTTP statuses), suite results, and an honest known-limitations section. "Verified" without named evidence is not verified. The RTM (SKB-DOC-11) links every requirement to its evidence.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5. Defect management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 SKB-DOC-07 §7 (severities, root cause, regression test, causal-analysis loop). Additionally: any defect that reached a user (rather than being caught by a gate) triggers the question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which gate should have caught it</w:t>
      </w:r>
      <w:r>
        <w:rPr>
          <w:rFonts w:ascii="Calibri" w:cs="Calibri" w:eastAsia="Calibri" w:hAnsi="Calibri"/>
          <w:sz w:val="22"/>
          <w:szCs w:val="22"/>
        </w:rPr>
        <w:t xml:space="preserve">, and the answer becomes either a new test or a new rule in the handbook. Recorded precedents: API-only verification → DoD live-verification rule; stale local Docker images → clean-state rule; silent scripted edits → positive-grep rule.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6. Non-functional verification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Resilience:</w:t>
      </w:r>
      <w:r>
        <w:rPr>
          <w:rFonts w:ascii="Calibri" w:cs="Calibri" w:eastAsia="Calibri" w:hAnsi="Calibri"/>
          <w:sz w:val="22"/>
          <w:szCs w:val="22"/>
        </w:rPr>
        <w:t xml:space="preserve"> live degradation drills (dependency down, broker down) per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RESILIENCE_MODULE.md</w:t>
      </w:r>
      <w:r>
        <w:rPr>
          <w:rFonts w:ascii="Calibri" w:cs="Calibri" w:eastAsia="Calibri" w:hAnsi="Calibri"/>
          <w:sz w:val="22"/>
          <w:szCs w:val="22"/>
        </w:rPr>
        <w:t xml:space="preserve"> §verification; circuit-breaker state visible in Grafana.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Performance:</w:t>
      </w:r>
      <w:r>
        <w:rPr>
          <w:rFonts w:ascii="Calibri" w:cs="Calibri" w:eastAsia="Calibri" w:hAnsi="Calibri"/>
          <w:sz w:val="22"/>
          <w:szCs w:val="22"/>
        </w:rPr>
        <w:t xml:space="preserve"> the search-pagination regression class is guarded by tests; any endpoint returning unbounded collections is a review reject.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Security:</w:t>
      </w:r>
      <w:r>
        <w:rPr>
          <w:rFonts w:ascii="Calibri" w:cs="Calibri" w:eastAsia="Calibri" w:hAnsi="Calibri"/>
          <w:sz w:val="22"/>
          <w:szCs w:val="22"/>
        </w:rPr>
        <w:t xml:space="preserve"> posture per SKB-DOC-06; scanner findings triaged in Sonar; ownership guards covered by web-slice tests.</w:t>
      </w:r>
    </w:p>
    <w:p>
      <w:pPr>
        <w:pStyle w:val="ListParagraph"/>
        <w:numPr>
          <w:ilvl w:val="0"/>
          <w:numId w:val="3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Observability:</w:t>
      </w:r>
      <w:r>
        <w:rPr>
          <w:rFonts w:ascii="Calibri" w:cs="Calibri" w:eastAsia="Calibri" w:hAnsi="Calibri"/>
          <w:sz w:val="22"/>
          <w:szCs w:val="22"/>
        </w:rPr>
        <w:t xml:space="preserve"> health groups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/livez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/readyz</w:t>
      </w:r>
      <w:r>
        <w:rPr>
          <w:rFonts w:ascii="Calibri" w:cs="Calibri" w:eastAsia="Calibri" w:hAnsi="Calibri"/>
          <w:sz w:val="22"/>
          <w:szCs w:val="22"/>
        </w:rPr>
        <w:t xml:space="preserve">) asserted in the reactor; dashboards are part of the deployment, not an afterthought.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7. Release gate summary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release (merge to main / promote) requires: CI green (build, all suites, Sonar gate) → certification E2E green on a clean stack → test report updated → RTM updated for new requirements → deployment per SKB-DOC-09.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Internal — Engineering · Uncontrolled when printed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SkyBook Engineering Documentation</w:t>
    </w:r>
    <w:r>
      <w:rPr>
        <w:rFonts w:ascii="Calibri" w:cs="Calibri" w:eastAsia="Calibri" w:hAnsi="Calibri"/>
        <w:b/>
        <w:bCs/>
        <w:color w:val="595959"/>
        <w:sz w:val="16"/>
        <w:szCs w:val="16"/>
      </w:rPr>
      <w:t xml:space="preserve">	SKB-DOC-08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4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 Light" w:cs="Calibri Light" w:eastAsia="Calibri Light" w:hAnsi="Calibri Ligh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SKB-DOC-08 — Quality Assurance Plan</dc:title>
  <dc:creator>SkyBook Platform Engineering</dc:creator>
  <dc:description>SkyBook governed engineering documentation</dc:description>
  <cp:lastModifiedBy>Un-named</cp:lastModifiedBy>
  <cp:revision>1</cp:revision>
  <dcterms:created xsi:type="dcterms:W3CDTF">2026-08-15T11:07:11.452Z</dcterms:created>
  <dcterms:modified xsi:type="dcterms:W3CDTF">2026-08-15T11:07:11.452Z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