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 Light" w:cs="Calibri Light" w:eastAsia="Calibri Light" w:hAnsi="Calibri Light"/>
          <w:color w:val="595959"/>
          <w:sz w:val="28"/>
          <w:szCs w:val="28"/>
        </w:rPr>
        <w:t xml:space="preserve">SkyBook Airline Reservation Platform</w:t>
      </w:r>
    </w:p>
    <w:p>
      <w:pPr>
        <w:spacing w:after="60" w:before="120"/>
      </w:pPr>
      <w:r>
        <w:rPr>
          <w:rFonts w:ascii="Calibri Light" w:cs="Calibri Light" w:eastAsia="Calibri Light" w:hAnsi="Calibri Light"/>
          <w:b/>
          <w:bCs/>
          <w:color w:val="2E5395"/>
          <w:sz w:val="32"/>
          <w:szCs w:val="32"/>
        </w:rPr>
        <w:t xml:space="preserve">SKB-DOC-09</w:t>
      </w:r>
    </w:p>
    <w:p>
      <w:pPr>
        <w:pBdr>
          <w:bottom w:val="single" w:color="1F3864" w:sz="12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Release &amp; Environments Policy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SKB-DOC-09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Baselined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 Engineering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2026-08-01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Detail source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docs/ENVIRONMENTS.md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(ladder &amp; Promote pipeline),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docs/DEPLOY_ORACLE.md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(production bootstrap)</w:t>
            </w:r>
          </w:p>
        </w:tc>
      </w:tr>
    </w:tbl>
    <w:p>
      <w:pPr>
        <w:spacing w:after="120" w:before="3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1. Environment ladder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Composition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Local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Development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docker compose up --build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all ports on localhost, Mailpit for mail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Seeded schedule; developer test accounts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CI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Gatekeeping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Fresh containers per run (Testcontainers); clean state by construction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Ephemeral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Certification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Release proof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Clean full-stack deployment; E2E suite drives real journeys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Fresh seed each run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Production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Live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 compose +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docker-compose.prod.yml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overlay (Caddy TLS single door, localhost-bound internals) on the production VM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Real; backed up per DR runbook</w:t>
            </w:r>
          </w:p>
        </w:tc>
      </w:tr>
    </w:tbl>
    <w:p>
      <w:pPr>
        <w:spacing w:after="120"/>
      </w:pP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One artefact set serves every rung: dev and prod differ by the overlay file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, never by divergent images (NFR-08). The certified images are the ones promoted — production does not rebuild from source except in the documented bootstrap/fallback path.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2. Versioning &amp; branches</w:t>
      </w:r>
    </w:p>
    <w:p>
      <w:pPr>
        <w:spacing w:after="120" w:before="60" w:line="276"/>
        <w:jc w:val="both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is always releasable. Features integrate by PR with the full gate (SKB-DOC-08 §7). Images are tagged by commit SHA by the CI matrix; "the release" is a SHA that passed certification. Rollback is redeploying the previous certified SHA (state: see §4).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3. Release procedure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PR merged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with all gates green.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Certification run on a clean stack; failures stop the release — no manual-fix-and-continue on the certification host.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Promote: the pipeline pulls the certified images to production and restarts services in dependency order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ENVIRONMENTS.md</w:t>
      </w:r>
      <w:r>
        <w:rPr>
          <w:rFonts w:ascii="Calibri" w:cs="Calibri" w:eastAsia="Calibri" w:hAnsi="Calibri"/>
          <w:sz w:val="22"/>
          <w:szCs w:val="22"/>
        </w:rPr>
        <w:t xml:space="preserve"> §Promote; one-time SSH setup in its §6).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Post-deploy verification: public URL loads over TLS, health groups green, one end-to-end smoke journey (search → book → cancel on a test account), observability dashboards receiving.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The release notes are the merged PR descriptions; anything operator-visible (new env var, new port, migration with a backfill) must be called out explicitly in the PR that introduces it.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4. Schema &amp; data during releases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Flyway migrates forward automatically at service start. Because migrations are one-release backward-compatible (SKB-DOC-05 §4.2), rolling back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code</w:t>
      </w:r>
      <w:r>
        <w:rPr>
          <w:rFonts w:ascii="Calibri" w:cs="Calibri" w:eastAsia="Calibri" w:hAnsi="Calibri"/>
          <w:sz w:val="22"/>
          <w:szCs w:val="22"/>
        </w:rPr>
        <w:t xml:space="preserve"> one release never requires a schema rollback. Data-destructive migrations are release-gated as described there. Backups precede every production promote (DR runbook §pre-deploy).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5. Configuration &amp; secrets per environment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environment differences live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(validated fail-fast) plus the overlay file. The production domain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SKYBOOK_DOMAIN</w:t>
      </w:r>
      <w:r>
        <w:rPr>
          <w:rFonts w:ascii="Calibri" w:cs="Calibri" w:eastAsia="Calibri" w:hAnsi="Calibri"/>
          <w:sz w:val="22"/>
          <w:szCs w:val="22"/>
        </w:rPr>
        <w:t xml:space="preserve">) drives both TLS and the public base URL used in outbound e-mail links — one variable, one source of truth. Secrets never move down the ladder: production values exist only on the production host.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6. Emergency changes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hotfix follows the same path at higher speed — PR, gates, certification, promote. The only sanctioned shortcut: certification may run the targeted subset plus the smoke journey when the fix is S1 and the full run's delay adds user harm; the full run then executes immediately after promote, and its failure reopens the incident.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Internal — Engineering · Uncontrolled when printed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SkyBook Engineering Documentation</w:t>
    </w: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	SKB-DOC-09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4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SKB-DOC-09 — Release &amp; Environments Policy</dc:title>
  <dc:creator>SkyBook Platform Engineering</dc:creator>
  <dc:description>SkyBook governed engineering documentation</dc:description>
  <cp:lastModifiedBy>Un-named</cp:lastModifiedBy>
  <cp:revision>1</cp:revision>
  <dcterms:created xsi:type="dcterms:W3CDTF">2026-08-15T11:07:11.473Z</dcterms:created>
  <dcterms:modified xsi:type="dcterms:W3CDTF">2026-08-15T11:07:11.473Z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