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90"/>
        <w:jc w:val="left"/>
      </w:pPr>
      <w:r>
        <w:rPr>
          <w:rFonts w:ascii="Calibri" w:cs="Calibri" w:eastAsia="Calibri" w:hAnsi="Calibri"/>
          <w:b/>
          <w:bCs/>
          <w:color w:val="12212E"/>
          <w:sz w:val="56"/>
          <w:szCs w:val="56"/>
        </w:rPr>
        <w:t xml:space="preserve">SkyBook</w:t>
      </w:r>
    </w:p>
    <w:p>
      <w:pPr>
        <w:spacing w:after="40" w:before="0" w:line="290"/>
        <w:jc w:val="left"/>
      </w:pPr>
      <w:r>
        <w:rPr>
          <w:rFonts w:ascii="Calibri" w:cs="Calibri" w:eastAsia="Calibri" w:hAnsi="Calibri"/>
          <w:color w:val="5B6B7A"/>
          <w:sz w:val="26"/>
          <w:szCs w:val="26"/>
        </w:rPr>
        <w:t xml:space="preserve">An airline reservations platform, built end to end</w:t>
      </w:r>
    </w:p>
    <w:p>
      <w:pPr>
        <w:spacing w:after="240" w:before="0" w:line="290"/>
        <w:jc w:val="left"/>
      </w:pPr>
      <w:r>
        <w:rPr>
          <w:rFonts w:ascii="Calibri" w:cs="Calibri" w:eastAsia="Calibri" w:hAnsi="Calibri"/>
          <w:color w:val="5B6B7A"/>
          <w:sz w:val="20"/>
          <w:szCs w:val="20"/>
        </w:rPr>
        <w:t xml:space="preserve">Recruiter edition — the 12-page summary of a 68-page engineering case study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2212E"/>
          <w:sz w:val="30"/>
          <w:szCs w:val="30"/>
        </w:rPr>
        <w:t xml:space="preserve">At a glance</w:t>
      </w:r>
    </w:p>
    <w:tbl>
      <w:tblPr>
        <w:tblW w:type="dxa" w:w="10080"/>
        <w:tblBorders>
          <w:top w:val="single" w:color="C7D2DC" w:sz="4"/>
          <w:left w:val="none"/>
          <w:bottom w:val="single" w:color="C7D2DC" w:sz="4"/>
          <w:right w:val="none"/>
          <w:insideH w:val="single" w:color="C7D2DC" w:sz="2"/>
          <w:insideV w:val="none"/>
        </w:tblBorders>
      </w:tblPr>
      <w:tblGrid>
        <w:gridCol w:w="1411"/>
        <w:gridCol w:w="8669"/>
      </w:tblGrid>
      <w:tr>
        <w:trPr>
          <w:tblHeader/>
        </w:trPr>
        <w:tc>
          <w:tcPr>
            <w:tcW w:type="dxa" w:w="1411"/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2212E"/>
                <w:sz w:val="19"/>
                <w:szCs w:val="19"/>
              </w:rPr>
              <w:t xml:space="preserve">Item</w:t>
            </w:r>
          </w:p>
        </w:tc>
        <w:tc>
          <w:tcPr>
            <w:tcW w:type="dxa" w:w="8669"/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2212E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4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What</w:t>
            </w:r>
          </w:p>
        </w:tc>
        <w:tc>
          <w:tcPr>
            <w:tcW w:type="dxa" w:w="866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A working airline: anonymous search, real seat maps, payment, confirmation email, check-in, scannable boarding pass, cancellations with fare-rule refunds, an admin console</w:t>
            </w:r>
          </w:p>
        </w:tc>
      </w:tr>
      <w:tr>
        <w:tc>
          <w:tcPr>
            <w:tcW w:type="dxa" w:w="141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Shape</w:t>
            </w:r>
          </w:p>
        </w:tc>
        <w:tc>
          <w:tcPr>
            <w:tcW w:type="dxa" w:w="8669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Eight Spring Boot applications (one API gateway, seven domain services), React 19 web client, PostgreSQL, Kafka, full observability</w:t>
            </w:r>
          </w:p>
        </w:tc>
      </w:tr>
      <w:tr>
        <w:tc>
          <w:tcPr>
            <w:tcW w:type="dxa" w:w="14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Built</w:t>
            </w:r>
          </w:p>
        </w:tc>
        <w:tc>
          <w:tcPr>
            <w:tcW w:type="dxa" w:w="866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35 calendar days of designed increments, then a measured quality and release-engineering revision</w:t>
            </w:r>
          </w:p>
        </w:tc>
      </w:tr>
      <w:tr>
        <w:tc>
          <w:tcPr>
            <w:tcW w:type="dxa" w:w="141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Quality</w:t>
            </w:r>
          </w:p>
        </w:tc>
        <w:tc>
          <w:tcPr>
            <w:tcW w:type="dxa" w:w="8669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SonarCloud gate PASSING: 91.2% coverage, 0 bugs, 0 vulnerabilities, security and reliability rating A</w:t>
            </w:r>
          </w:p>
        </w:tc>
      </w:tr>
      <w:tr>
        <w:tc>
          <w:tcPr>
            <w:tcW w:type="dxa" w:w="14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Tests</w:t>
            </w:r>
          </w:p>
        </w:tc>
        <w:tc>
          <w:tcPr>
            <w:tcW w:type="dxa" w:w="866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1,722 backend executions + 55 frontend + a 24-test end-to-end certification that races real buyers for one seat - zero failures at the evidence commit</w:t>
            </w:r>
          </w:p>
        </w:tc>
      </w:tr>
      <w:tr>
        <w:tc>
          <w:tcPr>
            <w:tcW w:type="dxa" w:w="141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Environments</w:t>
            </w:r>
          </w:p>
        </w:tc>
        <w:tc>
          <w:tcPr>
            <w:tcW w:type="dxa" w:w="8669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A real promotion ladder: LOCAL &gt; DEV &gt; SIT &gt; QA &gt; PERF &gt; UAT &gt; STAGING &gt; PROD, plus a weekly disaster-recovery drill that restores and verifies row counts</w:t>
            </w:r>
          </w:p>
        </w:tc>
      </w:tr>
      <w:tr>
        <w:tc>
          <w:tcPr>
            <w:tcW w:type="dxa" w:w="14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866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One cloud VM, 18 containers, automatic TLS - promoted by image digest, never rebuilt on the way to production</w:t>
            </w:r>
          </w:p>
        </w:tc>
      </w:tr>
      <w:tr>
        <w:tc>
          <w:tcPr>
            <w:tcW w:type="dxa" w:w="141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Role</w:t>
            </w:r>
          </w:p>
        </w:tc>
        <w:tc>
          <w:tcPr>
            <w:tcW w:type="dxa" w:w="8669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Solo: requirements, architecture, backend, frontend, testing, CI/CD, cloud, documentation. Built using AI-assisted development tooling, with every decision and merge owned by the author</w:t>
            </w:r>
          </w:p>
        </w:tc>
      </w:tr>
    </w:tbl>
    <w:p>
      <w:pPr>
        <w:spacing w:after="100" w:before="0" w:line="290"/>
        <w:jc w:val="left"/>
      </w:pPr>
      <w:r>
        <w:rPr>
          <w:rFonts w:ascii="Calibri" w:cs="Calibri" w:eastAsia="Calibri" w:hAnsi="Calibri"/>
          <w:color w:val="12212E"/>
          <w:sz w:val="21"/>
          <w:szCs w:val="21"/>
        </w:rPr>
        <w:t xml:space="preserve"/>
      </w:r>
    </w:p>
    <w:p>
      <w:pPr>
        <w:spacing w:after="90"/>
      </w:pPr>
      <w:hyperlink w:history="1" r:id="rIdmsgb_quk5dyooca30iby9">
        <w:r>
          <w:rPr>
            <w:rFonts w:ascii="Calibri" w:cs="Calibri" w:eastAsia="Calibri" w:hAnsi="Calibri"/>
            <w:color w:val="1E5AA8"/>
            <w:sz w:val="21"/>
            <w:szCs w:val="21"/>
            <w:u w:val="single"/>
          </w:rPr>
          <w:t xml:space="preserve">Repository: github.com/praveencloudlab/skybook</w:t>
        </w:r>
      </w:hyperlink>
    </w:p>
    <w:p>
      <w:pPr>
        <w:spacing w:after="90"/>
      </w:pPr>
      <w:hyperlink w:history="1" r:id="rIdusduewziwpckug5lir_ky">
        <w:r>
          <w:rPr>
            <w:rFonts w:ascii="Calibri" w:cs="Calibri" w:eastAsia="Calibri" w:hAnsi="Calibri"/>
            <w:color w:val="1E5AA8"/>
            <w:sz w:val="21"/>
            <w:szCs w:val="21"/>
            <w:u w:val="single"/>
          </w:rPr>
          <w:t xml:space="preserve">Quality dashboard: sonarcloud.io/project/overview?id=praveencloudlab_skybook</w:t>
        </w:r>
      </w:hyperlink>
    </w:p>
    <w:p>
      <w:pPr>
        <w:spacing w:after="60" w:before="0" w:line="290"/>
        <w:jc w:val="left"/>
      </w:pPr>
      <w:r>
        <w:rPr>
          <w:rFonts w:ascii="Calibri" w:cs="Calibri" w:eastAsia="Calibri" w:hAnsi="Calibri"/>
          <w:color w:val="12212E"/>
          <w:sz w:val="21"/>
          <w:szCs w:val="21"/>
        </w:rPr>
        <w:t xml:space="preserve"/>
      </w:r>
    </w:p>
    <w:p>
      <w:pPr>
        <w:spacing w:after="150" w:before="0" w:line="290"/>
        <w:jc w:val="left"/>
      </w:pPr>
      <w:r>
        <w:rPr>
          <w:rFonts w:ascii="Calibri" w:cs="Calibri" w:eastAsia="Calibri" w:hAnsi="Calibri"/>
          <w:i/>
          <w:iCs/>
          <w:color w:val="5B6B7A"/>
          <w:sz w:val="17"/>
          <w:szCs w:val="17"/>
        </w:rPr>
        <w:t xml:space="preserve">Disclaimer: SkyBook is a personal portfolio project - not a real airline, affiliated with no carrier. Airline-style codes in seed data are illustration only; payments are simulated server-side and no cardholder data exists; all passenger records are synthetic.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2212E"/>
          <w:sz w:val="30"/>
          <w:szCs w:val="30"/>
        </w:rPr>
        <w:t xml:space="preserve">The system</w:t>
      </w:r>
    </w:p>
    <w:p>
      <w:pPr>
        <w:spacing w:after="50" w:before="120"/>
        <w:jc w:val="center"/>
      </w:pPr>
      <w:r>
        <w:drawing>
          <wp:inline distT="0" distB="0" distL="0" distR="0">
            <wp:extent cx="63055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0" w:line="290"/>
        <w:jc w:val="center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The context: a public shopping surface, an authenticated booking core, and operations behind an admin role.</w:t>
      </w:r>
    </w:p>
    <w:p>
      <w:pPr>
        <w:spacing w:after="50" w:before="120"/>
        <w:jc w:val="center"/>
      </w:pPr>
      <w:r>
        <w:drawing>
          <wp:inline distT="0" distB="0" distL="0" distR="0">
            <wp:extent cx="6305550" cy="653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0" w:line="290"/>
        <w:jc w:val="center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Eight applications over one database instance (six schemas) and one event bus. Every service owns its data; nothing reaches another service's tables.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2212E"/>
          <w:sz w:val="30"/>
          <w:szCs w:val="30"/>
        </w:rPr>
        <w:t xml:space="preserve">The hard part: money moves asynchronously</w:t>
      </w:r>
    </w:p>
    <w:p>
      <w:pPr>
        <w:spacing w:after="150" w:before="0" w:line="290"/>
        <w:jc w:val="left"/>
      </w:pPr>
      <w:r>
        <w:rPr>
          <w:rFonts w:ascii="Calibri" w:cs="Calibri" w:eastAsia="Calibri" w:hAnsi="Calibri"/>
          <w:color w:val="12212E"/>
          <w:sz w:val="21"/>
          <w:szCs w:val="21"/>
        </w:rPr>
        <w:t xml:space="preserve">A booking is not confirmed when the payment call returns - it is confirmed when payment-service says so over Kafka and booking-service reacts. The saga below is the platform's spine, and the double-sell race (two real buyers, one seat, concurrent checkout) is certified end to end every night and on every promotion.</w:t>
      </w:r>
    </w:p>
    <w:p>
      <w:pPr>
        <w:spacing w:after="50" w:before="120"/>
        <w:jc w:val="center"/>
      </w:pPr>
      <w:r>
        <w:drawing>
          <wp:inline distT="0" distB="0" distL="0" distR="0">
            <wp:extent cx="630555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0" w:line="290"/>
        <w:jc w:val="center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The booking saga: draft, hold, pay, confirm - with compensations, not distributed locks.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2212E"/>
          <w:sz w:val="30"/>
          <w:szCs w:val="30"/>
        </w:rPr>
        <w:t xml:space="preserve">Security, stated honestly</w:t>
      </w:r>
    </w:p>
    <w:p>
      <w:pPr>
        <w:spacing w:after="50" w:before="120"/>
        <w:jc w:val="center"/>
      </w:pPr>
      <w:r>
        <w:drawing>
          <wp:inline distT="0" distB="0" distL="0" distR="0">
            <wp:extent cx="630555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0" w:line="290"/>
        <w:jc w:val="center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RS256 sessions, per-service credentials, an httpOnly cookie the gateway exchanges for a Bearer header - and the gaps stated next to the controls.</w:t>
      </w:r>
    </w:p>
    <w:p>
      <w:pPr>
        <w:spacing w:after="150" w:before="0" w:line="290"/>
        <w:jc w:val="left"/>
      </w:pPr>
      <w:r>
        <w:rPr>
          <w:rFonts w:ascii="Calibri" w:cs="Calibri" w:eastAsia="Calibri" w:hAnsi="Calibri"/>
          <w:color w:val="12212E"/>
          <w:sz w:val="21"/>
          <w:szCs w:val="21"/>
        </w:rPr>
        <w:t xml:space="preserve">The eight CSRF findings SonarCloud raised were closed with written justifications in code - the cookie is consumed at the gateway, SameSite=Lax covers the SPA, and all 48 GET endpoints were audited as read-only. A leaked mail credential early in the project was revoked, purged from history, and is recorded in the study as an incident, not hidden.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2212E"/>
          <w:sz w:val="30"/>
          <w:szCs w:val="30"/>
        </w:rPr>
        <w:t xml:space="preserve">Evidence, not adjectives</w:t>
      </w:r>
    </w:p>
    <w:tbl>
      <w:tblPr>
        <w:tblW w:type="dxa" w:w="10080"/>
        <w:tblBorders>
          <w:top w:val="single" w:color="C7D2DC" w:sz="4"/>
          <w:left w:val="none"/>
          <w:bottom w:val="single" w:color="C7D2DC" w:sz="4"/>
          <w:right w:val="none"/>
          <w:insideH w:val="single" w:color="C7D2DC" w:sz="2"/>
          <w:insideV w:val="none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2212E"/>
                <w:sz w:val="19"/>
                <w:szCs w:val="19"/>
              </w:rPr>
              <w:t xml:space="preserve">Claim</w:t>
            </w:r>
          </w:p>
        </w:tc>
        <w:tc>
          <w:tcPr>
            <w:tcW w:type="dxa" w:w="7459"/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2212E"/>
                <w:sz w:val="19"/>
                <w:szCs w:val="19"/>
              </w:rPr>
              <w:t xml:space="preserve">Proof</w:t>
            </w:r>
          </w:p>
        </w:tc>
      </w:tr>
      <w:tr>
        <w:tc>
          <w:tcPr>
            <w:tcW w:type="dxa" w:w="262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1,722 tests, zero failures</w:t>
            </w:r>
          </w:p>
        </w:tc>
        <w:tc>
          <w:tcPr>
            <w:tcW w:type="dxa" w:w="745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mvn clean verify at commit 96e24b2, 4 Aug 2026 - per-module table in the full study sums to exactly this</w:t>
            </w:r>
          </w:p>
        </w:tc>
      </w:tr>
      <w:tr>
        <w:tc>
          <w:tcPr>
            <w:tcW w:type="dxa" w:w="262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91.2% coverage, gate passing</w:t>
            </w:r>
          </w:p>
        </w:tc>
        <w:tc>
          <w:tcPr>
            <w:tcW w:type="dxa" w:w="7459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Public SonarCloud dashboard, measured on every push</w:t>
            </w:r>
          </w:p>
        </w:tc>
      </w:tr>
      <w:tr>
        <w:tc>
          <w:tcPr>
            <w:tcW w:type="dxa" w:w="262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The journey certifies</w:t>
            </w:r>
          </w:p>
        </w:tc>
        <w:tc>
          <w:tcPr>
            <w:tcW w:type="dxa" w:w="745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24 e2e tests through the gateway only: booking, payment, check-in, boarding pass, double-sell race, email into a real sink, one trace across the Kafka hop</w:t>
            </w:r>
          </w:p>
        </w:tc>
      </w:tr>
      <w:tr>
        <w:tc>
          <w:tcPr>
            <w:tcW w:type="dxa" w:w="262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Fast enough under load</w:t>
            </w:r>
          </w:p>
        </w:tc>
        <w:tc>
          <w:tcPr>
            <w:tcW w:type="dxa" w:w="7459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k6: 3,405/3,405 checks, p95 search 60 ms, quote 26 ms, 0.00% errors - thresholds gate every promotion</w:t>
            </w:r>
          </w:p>
        </w:tc>
      </w:tr>
      <w:tr>
        <w:tc>
          <w:tcPr>
            <w:tcW w:type="dxa" w:w="262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Backups actually restore</w:t>
            </w:r>
          </w:p>
        </w:tc>
        <w:tc>
          <w:tcPr>
            <w:tcW w:type="dxa" w:w="745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Weekly drill: back up, destroy the database volume, restore, verify 1,336,748 rows against the manifest - drilled live on 4 Aug</w:t>
            </w:r>
          </w:p>
        </w:tc>
      </w:tr>
      <w:tr>
        <w:tc>
          <w:tcPr>
            <w:tcW w:type="dxa" w:w="262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Same artifact everywhere</w:t>
            </w:r>
          </w:p>
        </w:tc>
        <w:tc>
          <w:tcPr>
            <w:tcW w:type="dxa" w:w="7459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Images built once per commit, scanned, published as multi-arch digests; every environment from DEV to PROD runs those exact bytes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2212E"/>
          <w:sz w:val="30"/>
          <w:szCs w:val="30"/>
        </w:rPr>
        <w:t xml:space="preserve">The product</w:t>
      </w:r>
    </w:p>
    <w:p>
      <w:pPr>
        <w:spacing w:after="50" w:before="120"/>
        <w:jc w:val="center"/>
      </w:pPr>
      <w:r>
        <w:drawing>
          <wp:inline distT="0" distB="0" distL="0" distR="0">
            <wp:extent cx="584835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0" w:line="290"/>
        <w:jc w:val="center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Search: a seven-day price strip and one card per itinerary - priced by the same endpoint checkout will use.</w:t>
      </w:r>
    </w:p>
    <w:p>
      <w:pPr>
        <w:spacing w:after="50" w:before="120"/>
        <w:jc w:val="center"/>
      </w:pPr>
      <w:r>
        <w:drawing>
          <wp:inline distT="0" distB="0" distL="0" distR="0">
            <wp:extent cx="4324350" cy="786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0" w:line="290"/>
        <w:jc w:val="center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Seat selection from the real cabin: paid rows priced per seat, held seats disabled, free auto-assign.</w:t>
      </w:r>
    </w:p>
    <w:p>
      <w:r>
        <w:br w:type="page"/>
      </w:r>
    </w:p>
    <w:p>
      <w:pPr>
        <w:spacing w:after="50" w:before="120"/>
        <w:jc w:val="center"/>
      </w:pPr>
      <w:r>
        <w:drawing>
          <wp:inline distT="0" distB="0" distL="0" distR="0">
            <wp:extent cx="584835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0" w:line="290"/>
        <w:jc w:val="center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The moment three services agree: record locator, paid amount, trip saved.</w:t>
      </w:r>
    </w:p>
    <w:p>
      <w:pPr>
        <w:spacing w:after="50" w:before="120"/>
        <w:jc w:val="center"/>
      </w:pPr>
      <w:r>
        <w:drawing>
          <wp:inline distT="0" distB="0" distL="0" distR="0">
            <wp:extent cx="5133975" cy="786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0" w:line="290"/>
        <w:jc w:val="center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The boarding pass - the QR is real and the gate-operations console verifies it.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2212E"/>
          <w:sz w:val="30"/>
          <w:szCs w:val="30"/>
        </w:rPr>
        <w:t xml:space="preserve">Five things that went wrong, on purpose in print</w:t>
      </w:r>
    </w:p>
    <w:tbl>
      <w:tblPr>
        <w:tblW w:type="dxa" w:w="10080"/>
        <w:tblBorders>
          <w:top w:val="single" w:color="C7D2DC" w:sz="4"/>
          <w:left w:val="none"/>
          <w:bottom w:val="single" w:color="C7D2DC" w:sz="4"/>
          <w:right w:val="none"/>
          <w:insideH w:val="single" w:color="C7D2DC" w:sz="2"/>
          <w:insideV w:val="none"/>
        </w:tblBorders>
      </w:tblPr>
      <w:tblGrid>
        <w:gridCol w:w="4637"/>
        <w:gridCol w:w="5443"/>
      </w:tblGrid>
      <w:tr>
        <w:trPr>
          <w:tblHeader/>
        </w:trPr>
        <w:tc>
          <w:tcPr>
            <w:tcW w:type="dxa" w:w="4637"/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2212E"/>
                <w:sz w:val="19"/>
                <w:szCs w:val="19"/>
              </w:rPr>
              <w:t xml:space="preserve">Incident</w:t>
            </w:r>
          </w:p>
        </w:tc>
        <w:tc>
          <w:tcPr>
            <w:tcW w:type="dxa" w:w="5443"/>
            <w:shd w:fill="E8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2212E"/>
                <w:sz w:val="19"/>
                <w:szCs w:val="19"/>
              </w:rPr>
              <w:t xml:space="preserve">Lesson</w:t>
            </w:r>
          </w:p>
        </w:tc>
      </w:tr>
      <w:tr>
        <w:tc>
          <w:tcPr>
            <w:tcW w:type="dxa" w:w="46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A transactional method silently ran with no transaction (Spring self-invocation)</w:t>
            </w:r>
          </w:p>
        </w:tc>
        <w:tc>
          <w:tcPr>
            <w:tcW w:type="dxa" w:w="544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Proxies do not apply to internal calls; the nightly schedule generator ran unprotected until static analysis flagged it</w:t>
            </w:r>
          </w:p>
        </w:tc>
      </w:tr>
      <w:tr>
        <w:tc>
          <w:tcPr>
            <w:tcW w:type="dxa" w:w="4637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Every cross-timezone arrival displayed hours wrong - durations looked right by accident</w:t>
            </w:r>
          </w:p>
        </w:tc>
        <w:tc>
          <w:tcPr>
            <w:tcW w:type="dxa" w:w="5443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Two wall clocks in different zones subtract to nonsense; fixing it touched generation, email, search, 414,679 rows and the screenshots</w:t>
            </w:r>
          </w:p>
        </w:tc>
      </w:tr>
      <w:tr>
        <w:tc>
          <w:tcPr>
            <w:tcW w:type="dxa" w:w="46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A round-trip cancellation could refund partially and leave the booking looking live</w:t>
            </w:r>
          </w:p>
        </w:tc>
        <w:tc>
          <w:tcPr>
            <w:tcW w:type="dxa" w:w="544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The expansion set and the remaining set were computed from different keys; pinned by tests that fail on the old code</w:t>
            </w:r>
          </w:p>
        </w:tc>
      </w:tr>
      <w:tr>
        <w:tc>
          <w:tcPr>
            <w:tcW w:type="dxa" w:w="4637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The environment ladder's first ever run refused a bad promotion, then caught its own seeding bug</w:t>
            </w:r>
          </w:p>
        </w:tc>
        <w:tc>
          <w:tcPr>
            <w:tcW w:type="dxa" w:w="5443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Gates that only pass are decoration; these blocked, and the fixes are commits</w:t>
            </w:r>
          </w:p>
        </w:tc>
      </w:tr>
      <w:tr>
        <w:tc>
          <w:tcPr>
            <w:tcW w:type="dxa" w:w="46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A test demanded zero collisions from a generator whose own name promised "rare"</w:t>
            </w:r>
          </w:p>
        </w:tc>
        <w:tc>
          <w:tcPr>
            <w:tcW w:type="dxa" w:w="544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90"/>
              <w:jc w:val="left"/>
            </w:pPr>
            <w:r>
              <w:rPr>
                <w:rFonts w:ascii="Calibri" w:cs="Calibri" w:eastAsia="Calibri" w:hAnsi="Calibri"/>
                <w:color w:val="12212E"/>
                <w:sz w:val="19"/>
                <w:szCs w:val="19"/>
              </w:rPr>
              <w:t xml:space="preserve">The birthday paradox made CI red one run in twenty-two; assert what the code promises, not more</w:t>
            </w:r>
          </w:p>
        </w:tc>
      </w:tr>
    </w:tbl>
    <w:p>
      <w:pPr>
        <w:spacing w:after="120" w:before="0" w:line="290"/>
        <w:jc w:val="left"/>
      </w:pPr>
      <w:r>
        <w:rPr>
          <w:rFonts w:ascii="Calibri" w:cs="Calibri" w:eastAsia="Calibri" w:hAnsi="Calibri"/>
          <w:color w:val="12212E"/>
          <w:sz w:val="21"/>
          <w:szCs w:val="21"/>
        </w:rPr>
        <w:t xml:space="preserve"/>
      </w:r>
    </w:p>
    <w:p>
      <w:pPr>
        <w:spacing w:after="150" w:before="0" w:line="290"/>
        <w:jc w:val="left"/>
      </w:pPr>
      <w:r>
        <w:rPr>
          <w:rFonts w:ascii="Calibri" w:cs="Calibri" w:eastAsia="Calibri" w:hAnsi="Calibri"/>
          <w:color w:val="12212E"/>
          <w:sz w:val="21"/>
          <w:szCs w:val="21"/>
        </w:rPr>
        <w:t xml:space="preserve">Current limits, stated: no transactional outbox (a post-commit publish failure loses the event - top of the roadmap), no sustained capacity test (the k6 gate catches regressions, not limits), single-VM deployment with RPO 24h / RTO ~30min, and a browser UI suite not yet wired into CI. The full study gives every gap its reasons.</w:t>
      </w:r>
    </w:p>
    <w:p>
      <w:pPr>
        <w:spacing w:after="100" w:before="0" w:line="290"/>
        <w:jc w:val="left"/>
      </w:pPr>
      <w:r>
        <w:rPr>
          <w:rFonts w:ascii="Calibri" w:cs="Calibri" w:eastAsia="Calibri" w:hAnsi="Calibri"/>
          <w:color w:val="12212E"/>
          <w:sz w:val="21"/>
          <w:szCs w:val="21"/>
        </w:rPr>
        <w:t xml:space="preserve"/>
      </w:r>
    </w:p>
    <w:p>
      <w:pPr>
        <w:spacing w:after="150" w:before="0" w:line="290"/>
        <w:jc w:val="left"/>
      </w:pPr>
      <w:r>
        <w:rPr>
          <w:rFonts w:ascii="Calibri" w:cs="Calibri" w:eastAsia="Calibri" w:hAnsi="Calibri"/>
          <w:i/>
          <w:iCs/>
          <w:color w:val="5B6B7A"/>
          <w:sz w:val="21"/>
          <w:szCs w:val="21"/>
        </w:rPr>
        <w:t xml:space="preserve">The full 68-page engineering edition covers the architecture, the saga, pricing and refunds, check-in, the delivery history commit by commit, testing, defects and lessons, the data model, and six appendices - traceability, API contracts, security operations, screens, roadmap, glossary.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7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7A"/>
        <w:sz w:val="16"/>
        <w:szCs w:val="16"/>
      </w:rPr>
      <w:t xml:space="preserve">SkyBook — Recruiter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1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sgb_quk5dyooca30iby9" Type="http://schemas.openxmlformats.org/officeDocument/2006/relationships/hyperlink" Target="https://github.com/praveencloudlab/skybook" TargetMode="External"/><Relationship Id="rIdusduewziwpckug5lir_ky" Type="http://schemas.openxmlformats.org/officeDocument/2006/relationships/hyperlink" Target="https://sonarcloud.io/project/overview?id=praveencloudlab_skybook" TargetMode="External"/><Relationship Id="rId9" Type="http://schemas.openxmlformats.org/officeDocument/2006/relationships/image" Target="media/c4784b84bdd6d6554b11025f98d09db47106e1e3.png"/><Relationship Id="rId10" Type="http://schemas.openxmlformats.org/officeDocument/2006/relationships/image" Target="media/844a030df6bba288629ad59ce8f41e6aac2b8fb5.png"/><Relationship Id="rId11" Type="http://schemas.openxmlformats.org/officeDocument/2006/relationships/image" Target="media/2ce21ed668b0ce8f5a2825e0563fd32e72c99a31.png"/><Relationship Id="rId12" Type="http://schemas.openxmlformats.org/officeDocument/2006/relationships/image" Target="media/c89ce5192117eb0e4819164f874e93a9bb180951.png"/><Relationship Id="rId13" Type="http://schemas.openxmlformats.org/officeDocument/2006/relationships/image" Target="media/872f8da88e9dad5955654350ecf570d2473a62b4.png"/><Relationship Id="rId14" Type="http://schemas.openxmlformats.org/officeDocument/2006/relationships/image" Target="media/d2c27a7001165b8eed8e87daa0bee87b625a2f0e.png"/><Relationship Id="rId15" Type="http://schemas.openxmlformats.org/officeDocument/2006/relationships/image" Target="media/ba02016b77a7e3fa0e20f19173916a1018433aeb.png"/><Relationship Id="rId16" Type="http://schemas.openxmlformats.org/officeDocument/2006/relationships/image" Target="media/27ce1eee98a99666478e5ccde0528cf6417b085b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SkyBook - Recruiter Edition</dc:title>
  <dc:creator>praveen</dc:creator>
  <cp:lastModifiedBy>Un-named</cp:lastModifiedBy>
  <cp:revision>1</cp:revision>
  <dcterms:created xsi:type="dcterms:W3CDTF">2026-08-04T15:45:46.780Z</dcterms:created>
  <dcterms:modified xsi:type="dcterms:W3CDTF">2026-08-04T15:45:46.782Z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