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263a46"/>
          <w:sz w:val="68"/>
          <w:szCs w:val="68"/>
        </w:rPr>
        <w:t xml:space="preserve">SkyBook</w:t>
      </w:r>
    </w:p>
    <w:p>
      <w:pPr>
        <w:spacing w:after="40"/>
        <w:jc w:val="center"/>
      </w:pPr>
      <w:r>
        <w:rPr>
          <w:b/>
          <w:bCs/>
          <w:color w:val="b08747"/>
          <w:sz w:val="30"/>
          <w:szCs w:val="30"/>
        </w:rPr>
        <w:t xml:space="preserve">Airline Reservation Platform</w:t>
      </w:r>
    </w:p>
    <w:p>
      <w:pPr>
        <w:spacing w:after="0" w:before="260"/>
        <w:jc w:val="center"/>
      </w:pPr>
      <w:r>
        <w:rPr>
          <w:color w:val="1f2937"/>
          <w:sz w:val="30"/>
          <w:szCs w:val="30"/>
        </w:rPr>
        <w:t xml:space="preserve">Platform Evolution &amp; Engineering Toolchain</w:t>
      </w:r>
    </w:p>
    <w:p>
      <w:pPr>
        <w:spacing w:after="700"/>
        <w:jc w:val="center"/>
      </w:pPr>
      <w:r>
        <w:rPr>
          <w:i/>
          <w:iCs/>
          <w:color w:val="475569"/>
          <w:sz w:val="22"/>
          <w:szCs w:val="22"/>
        </w:rPr>
        <w:t xml:space="preserve">A case-study addendum</w:t>
      </w:r>
    </w:p>
    <w:p>
      <w:pPr>
        <w:jc w:val="center"/>
      </w:pPr>
      <w:r>
        <w:rPr>
          <w:b/>
          <w:bCs/>
          <w:color w:val="263a46"/>
          <w:sz w:val="24"/>
          <w:szCs w:val="24"/>
        </w:rPr>
        <w:t xml:space="preserve">Praveenreddy Somireddy</w:t>
      </w:r>
    </w:p>
    <w:p>
      <w:pPr>
        <w:spacing w:after="0"/>
        <w:jc w:val="center"/>
      </w:pPr>
      <w:r>
        <w:rPr>
          <w:color w:val="475569"/>
          <w:sz w:val="20"/>
          <w:szCs w:val="20"/>
        </w:rPr>
        <w:t xml:space="preserve">Author &amp; Engineer</w:t>
      </w:r>
    </w:p>
    <w:p>
      <w:pPr>
        <w:spacing w:before="120"/>
        <w:jc w:val="center"/>
      </w:pPr>
      <w:r>
        <w:rPr>
          <w:color w:val="475569"/>
          <w:sz w:val="20"/>
          <w:szCs w:val="20"/>
        </w:rPr>
        <w:t xml:space="preserve">7 August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63a46"/>
          <w:sz w:val="30"/>
          <w:szCs w:val="30"/>
        </w:rPr>
        <w:t xml:space="preserve">About this document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This addendum records how the SkyBook platform advanced beyond the version documented in the main case study, and — the part it is written to make legible — the </w:t>
      </w:r>
      <w:r>
        <w:rPr>
          <w:b/>
          <w:bCs/>
          <w:color w:val="1f2937"/>
          <w:sz w:val="21"/>
          <w:szCs w:val="21"/>
        </w:rPr>
        <w:t xml:space="preserve">real-world engineering toolchain</w:t>
      </w:r>
      <w:r>
        <w:rPr>
          <w:color w:val="1f2937"/>
          <w:sz w:val="21"/>
          <w:szCs w:val="21"/>
        </w:rPr>
        <w:t xml:space="preserve"> the platform is built, tested, shipped and operated with. Every figure here is measured from the repository at the time of writing, not estimated.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SkyBook is a microservice airline reservation system: </w:t>
      </w:r>
      <w:r>
        <w:rPr>
          <w:b/>
          <w:bCs/>
          <w:color w:val="1f2937"/>
          <w:sz w:val="21"/>
          <w:szCs w:val="21"/>
        </w:rPr>
        <w:t xml:space="preserve">one API gateway and seven domain services</w:t>
      </w:r>
      <w:r>
        <w:rPr>
          <w:color w:val="1f2937"/>
          <w:sz w:val="21"/>
          <w:szCs w:val="21"/>
        </w:rPr>
        <w:t xml:space="preserve"> (auth, flight, booking, inventory, payment, notification, check-in) behind a React single-page front end, communicating over HTTP at the edge and Apache Kafka between services. It runs on a single free-tier cloud VM behind a TLS front door, promoted there by a full CI/CD pipeline.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Author: </w:t>
      </w:r>
      <w:r>
        <w:rPr>
          <w:b/>
          <w:bCs/>
          <w:color w:val="1f2937"/>
          <w:sz w:val="21"/>
          <w:szCs w:val="21"/>
        </w:rPr>
        <w:t xml:space="preserve">Praveenreddy Somireddy</w:t>
      </w:r>
      <w:r>
        <w:rPr>
          <w:color w:val="1f2937"/>
          <w:sz w:val="21"/>
          <w:szCs w:val="21"/>
        </w:rPr>
        <w:t xml:space="preserve">. The design decisions, the trade-offs, and the defects found and fixed in production described below are the author’s own work on the platform.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63a46"/>
          <w:sz w:val="30"/>
          <w:szCs w:val="30"/>
        </w:rPr>
        <w:t xml:space="preserve">Part 1 — Platform evolution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Six capabilities were added or reworked. Each is a pattern real airlines run; each is described with what it does, why it is realistic, and the engineering detail that made it non-trivial — including, in three cases, a defect that only surfaced in production and how it was diagnosed and closed.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Sign in with Google (OIDC)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Passengers sign in — and implicitly register — with a Google account, the “Continue with Google” pattern every consumer travel site offers. Live in production behind the platform’s TLS domain.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Authorization-code flow with PKCE. The governing rule is </w:t>
      </w:r>
      <w:r>
        <w:rPr>
          <w:b/>
          <w:bCs/>
          <w:color w:val="1f2937"/>
          <w:sz w:val="21"/>
          <w:szCs w:val="21"/>
        </w:rPr>
        <w:t xml:space="preserve">Google authenticates; SkyBook authorizes</w:t>
      </w:r>
      <w:r>
        <w:rPr>
          <w:color w:val="1f2937"/>
          <w:sz w:val="21"/>
          <w:szCs w:val="21"/>
        </w:rPr>
        <w:t xml:space="preserve">: the external identity is exchanged inside auth-service for the platform’s own RS256 token, so the gateway and all seven services never learn that SSO exists. Two production-only bugs were found and fixed by live use — a sealed OAuth state cookie that grew past both the browser’s 4 KB cap and nginx’s proxy-buffer limit (invisible to in-JVM tests), and relative redirects that resolved to an internal hostname behind the proxy chain. Both now have regression tests pinning the exact failure.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Guest check-in (no account required)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A travel agency books a ticket and sends the passenger an e-ticket; the passenger, who has no SkyBook account, retrieves the booking by reference and surname, checks in, downloads a boarding pass, and emails it to any address. This is the standard “Manage My Booking” model.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A short-lived, booking-scoped </w:t>
      </w:r>
      <w:r>
        <w:rPr>
          <w:rFonts w:ascii="Consolas" w:cs="Consolas" w:eastAsia="Consolas" w:hAnsi="Consolas"/>
          <w:color w:val="263a46"/>
          <w:sz w:val="19"/>
          <w:szCs w:val="19"/>
        </w:rPr>
        <w:t xml:space="preserve">GUEST</w:t>
      </w:r>
      <w:r>
        <w:rPr>
          <w:color w:val="1f2937"/>
          <w:sz w:val="21"/>
          <w:szCs w:val="21"/>
        </w:rPr>
        <w:t xml:space="preserve"> token is minted by the same RS256 machinery, carried in its own </w:t>
      </w:r>
      <w:r>
        <w:rPr>
          <w:rFonts w:ascii="Consolas" w:cs="Consolas" w:eastAsia="Consolas" w:hAnsi="Consolas"/>
          <w:color w:val="263a46"/>
          <w:sz w:val="19"/>
          <w:szCs w:val="19"/>
        </w:rPr>
        <w:t xml:space="preserve">__Host-</w:t>
      </w:r>
      <w:r>
        <w:rPr>
          <w:color w:val="1f2937"/>
          <w:sz w:val="21"/>
          <w:szCs w:val="21"/>
        </w:rPr>
        <w:t xml:space="preserve">-prefixed cookie so it can never overwrite a signed-in account session. Services opt in to guest tokens explicitly (default deny); out-of-scope access answers 404, never 403, so booking existence cannot be probed. A live bug where a leftover guest cookie answered for the account that owned a booking was traced to gateway credential precedence and fixed so the account session always wins unless the guest page asks otherwise.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Fare rules — the Premium refund waiver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Fare families now behave like real ones: Premium is fully refundable and freely changeable; Saver keeps a cancellation fee; the time-tier ladder (full refund ≥72 h, 50 % to 24 h, none inside the same-day window) still applies to the others. Reported as a live bug — a Premium passenger being charged a cancellation fee — and fixed at the root.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The refund tier is computed once by booking-service (the quoting authority) and rides the CANCELLED event to payment-service, which applies it </w:t>
      </w:r>
      <w:r>
        <w:rPr>
          <w:b/>
          <w:bCs/>
          <w:color w:val="1f2937"/>
          <w:sz w:val="21"/>
          <w:szCs w:val="21"/>
        </w:rPr>
        <w:t xml:space="preserve">per fare line</w:t>
      </w:r>
      <w:r>
        <w:rPr>
          <w:color w:val="1f2937"/>
          <w:sz w:val="21"/>
          <w:szCs w:val="21"/>
        </w:rPr>
        <w:t xml:space="preserve"> rather than to a pooled total — so a mixed Premium+Saver booking no longer refunds both at the Saver rate. Recomputing the time-sensitive tier downstream would let two clocks disagree across the seconds between quote and capture; carrying it on the event removes that class of error.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Idempotency — safe retries on money paths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A retry — a double-click, a lost response, a message redelivery — must never charge twice or refund twice. This closed a defect that was moving real money.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The live defect: a redelivered partial-cancellation event passed a status guard that accepted the very state the first refund produced, issuing a </w:t>
      </w:r>
      <w:r>
        <w:rPr>
          <w:b/>
          <w:bCs/>
          <w:color w:val="1f2937"/>
          <w:sz w:val="21"/>
          <w:szCs w:val="21"/>
        </w:rPr>
        <w:t xml:space="preserve">second refund and a second gateway call</w:t>
      </w:r>
      <w:r>
        <w:rPr>
          <w:color w:val="1f2937"/>
          <w:sz w:val="21"/>
          <w:szCs w:val="21"/>
        </w:rPr>
        <w:t xml:space="preserve">. Refunds now carry a cause key unique per payment, enforced by the database; booking and payment creation carry a client idempotency key plus a request fingerprint, so a retry replays the original and a key reused with a different body is refused. Authorize and capture became idempotent by state — an already-captured payment replays itself instead of reporting a false error on money that already moved.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Mobile-responsive redesign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The whole app was re-fitted for phones after real-device testing on an iPhone: a measured 40 controls under the 44-pixel tap-target minimum, an over-wide header, and content clipped off the right edge.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Fixes were measured, not guessed: a header that demanded 517 px of a 390 px screen collapses to a drawer; a global 44-pixel tap-target floor and a 16-pixel input-font floor (to stop iOS Safari’s focus-zoom) were set once in the design system; pickers became bottom sheets; the booking stepper, trip cards and “My trips” filters were rebuilt to fit.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Flights list pagination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What &amp; why. </w:t>
      </w:r>
      <w:r>
        <w:rPr>
          <w:color w:val="1f2937"/>
          <w:sz w:val="21"/>
          <w:szCs w:val="21"/>
        </w:rPr>
        <w:t xml:space="preserve">A latent operational hazard: the list-all flights endpoint loaded the entire ~920,000-row seed network into memory on every call and failed as a misleading 401.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Engineering. </w:t>
      </w:r>
      <w:r>
        <w:rPr>
          <w:color w:val="1f2937"/>
          <w:sz w:val="21"/>
          <w:szCs w:val="21"/>
        </w:rPr>
        <w:t xml:space="preserve">Replaced with a paged query (default 50, hard cap 200) issuing </w:t>
      </w:r>
      <w:r>
        <w:rPr>
          <w:rFonts w:ascii="Consolas" w:cs="Consolas" w:eastAsia="Consolas" w:hAnsi="Consolas"/>
          <w:color w:val="263a46"/>
          <w:sz w:val="19"/>
          <w:szCs w:val="19"/>
        </w:rPr>
        <w:t xml:space="preserve">LIMIT/OFFSET</w:t>
      </w:r>
      <w:r>
        <w:rPr>
          <w:color w:val="1f2937"/>
          <w:sz w:val="21"/>
          <w:szCs w:val="21"/>
        </w:rPr>
        <w:t xml:space="preserve"> plus a count. Nothing in the app ever consumed the full list — shopping runs through search and itinerary endpoints — so the fix is pure hardening.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63a46"/>
          <w:sz w:val="30"/>
          <w:szCs w:val="30"/>
        </w:rPr>
        <w:t xml:space="preserve">Part 2 — The engineering toolchain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SkyBook is deliberately built the way a funded engineering team would build it. This section names every load-bearing tool, its measured version, and the job it does — logging, monitoring, quality gates, CI/CD, messaging, orchestration and the rest — so the platform’s operational maturity is visible rather than implied.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At a glance</w:t>
      </w:r>
    </w:p>
    <w:tbl>
      <w:tblPr>
        <w:tblW w:type="dxa" w:w="9300"/>
        <w:tblBorders>
          <w:top w:val="single" w:color="d9e5ec" w:sz="4"/>
          <w:left w:val="single" w:color="d9e5ec" w:sz="4"/>
          <w:bottom w:val="single" w:color="d9e5ec" w:sz="4"/>
          <w:right w:val="single" w:color="d9e5ec" w:sz="4"/>
          <w:insideH w:val="single" w:color="d9e5ec" w:sz="4"/>
          <w:insideV w:val="single" w:color="d9e5ec" w:sz="4"/>
        </w:tblBorders>
      </w:tblPr>
      <w:tblGrid>
        <w:gridCol w:w="1500"/>
        <w:gridCol w:w="2400"/>
        <w:gridCol w:w="1500"/>
        <w:gridCol w:w="3900"/>
      </w:tblGrid>
      <w:tr>
        <w:trPr>
          <w:tblHeader/>
        </w:trPr>
        <w:tc>
          <w:tcPr>
            <w:tcW w:type="dxa" w:w="15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4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SkyBook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Runtime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3.5.16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Every backend service; Java 21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Runtime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React + Vite + TypeScript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 / 8 / 6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Single-page front end, type-checked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Messaging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Apache Kafka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3.9.0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event backbone between services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One database per service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Migrations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Flyway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core + pg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Versioned, validated schema; no auto-DDL in prod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Prometheus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v3.2.1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Scrapes every service’s /actuator/prometheus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Grafana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11.6.0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Fleet dashboards over metrics, logs and traces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Logs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Loki + promtail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3.4.2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Centralised structured (JSON) log aggregation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Tracing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Tempo + OpenTelemetry agent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2.7.1 / 2.14.0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Distributed traces across the Kafka hops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Quality gate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SonarCloud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CI-gated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Coverage, bugs, vulnerabilities, security rating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Image scan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Trivy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CI-gated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Scans every image before it is pushed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 scan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CodeQL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CI-gated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Static security analysis on the source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CI/CD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Managed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Build-once, multi-arch, promote-many pipeline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Containers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Docker + buildx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Compose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Multi-architecture images (amd64 + arm64)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Kubernetes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28-file tree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 manifest set on a branch, cluster-verify pending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Resilience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resilience4j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spring-boot3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Circuit breakers, bulkheads, retries on outbound calls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RS256 JWT (jjwt)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0.12.x</w:t>
            </w:r>
          </w:p>
        </w:tc>
        <w:tc>
          <w:tcPr>
            <w:tcW w:type="dxa" w:w="3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Asymmetric tokens; auth-service is sole minter</w:t>
            </w:r>
          </w:p>
        </w:tc>
      </w:tr>
      <w:tr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tests</w:t>
            </w:r>
          </w:p>
        </w:tc>
        <w:tc>
          <w:tcPr>
            <w:tcW w:type="dxa" w:w="2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Vitest</w:t>
            </w:r>
          </w:p>
        </w:tc>
        <w:tc>
          <w:tcPr>
            <w:tcW w:type="dxa" w:w="15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4.x</w:t>
            </w:r>
          </w:p>
        </w:tc>
        <w:tc>
          <w:tcPr>
            <w:tcW w:type="dxa" w:w="3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Component and behaviour tests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Observability — logs, metrics, traces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SkyBook runs the three pillars, not one. </w:t>
      </w:r>
      <w:r>
        <w:rPr>
          <w:b/>
          <w:bCs/>
          <w:color w:val="1f2937"/>
          <w:sz w:val="21"/>
          <w:szCs w:val="21"/>
        </w:rPr>
        <w:t xml:space="preserve">Metrics</w:t>
      </w:r>
      <w:r>
        <w:rPr>
          <w:color w:val="1f2937"/>
          <w:sz w:val="21"/>
          <w:szCs w:val="21"/>
        </w:rPr>
        <w:t xml:space="preserve">: every service exposes Micrometer/Prometheus metrics on an internal-only management port; Prometheus scrapes them and Grafana renders a fleet dashboard. </w:t>
      </w:r>
      <w:r>
        <w:rPr>
          <w:b/>
          <w:bCs/>
          <w:color w:val="1f2937"/>
          <w:sz w:val="21"/>
          <w:szCs w:val="21"/>
        </w:rPr>
        <w:t xml:space="preserve">Logs</w:t>
      </w:r>
      <w:r>
        <w:rPr>
          <w:color w:val="1f2937"/>
          <w:sz w:val="21"/>
          <w:szCs w:val="21"/>
        </w:rPr>
        <w:t xml:space="preserve">: each service logs structured JSON via Logstash encoders; promtail ships them to Loki, queryable beside the metrics in Grafana. </w:t>
      </w:r>
      <w:r>
        <w:rPr>
          <w:b/>
          <w:bCs/>
          <w:color w:val="1f2937"/>
          <w:sz w:val="21"/>
          <w:szCs w:val="21"/>
        </w:rPr>
        <w:t xml:space="preserve">Traces</w:t>
      </w:r>
      <w:r>
        <w:rPr>
          <w:color w:val="1f2937"/>
          <w:sz w:val="21"/>
          <w:szCs w:val="21"/>
        </w:rPr>
        <w:t xml:space="preserve">: an OpenTelemetry Java agent instruments every service and exports to Tempo, so a single booking can be followed across the gateway, the services, and the Kafka events between them — the reason distributed tracing exists.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The management surface is deliberately isolated: actuator endpoints live on a separate internal port, never on the public business port, so metrics and health are scrapeable inside the network but invisible from the edge.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Quality gates — Sonar, Trivy, CodeQL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Three independent gates guard every change. The </w:t>
      </w:r>
      <w:r>
        <w:rPr>
          <w:b/>
          <w:bCs/>
          <w:color w:val="1f2937"/>
          <w:sz w:val="21"/>
          <w:szCs w:val="21"/>
        </w:rPr>
        <w:t xml:space="preserve">SonarCloud quality gate</w:t>
      </w:r>
      <w:r>
        <w:rPr>
          <w:color w:val="1f2937"/>
          <w:sz w:val="21"/>
          <w:szCs w:val="21"/>
        </w:rPr>
        <w:t xml:space="preserve"> blocks a merge on coverage, bugs, vulnerabilities and security rating — it has been driven to a passing state at over 90 % coverage with zero bugs and zero vulnerabilities. </w:t>
      </w:r>
      <w:r>
        <w:rPr>
          <w:b/>
          <w:bCs/>
          <w:color w:val="1f2937"/>
          <w:sz w:val="21"/>
          <w:szCs w:val="21"/>
        </w:rPr>
        <w:t xml:space="preserve">Trivy</w:t>
      </w:r>
      <w:r>
        <w:rPr>
          <w:color w:val="1f2937"/>
          <w:sz w:val="21"/>
          <w:szCs w:val="21"/>
        </w:rPr>
        <w:t xml:space="preserve"> scans each container image for known CVEs before it is allowed to be pushed to the registry (scan-before-push). </w:t>
      </w:r>
      <w:r>
        <w:rPr>
          <w:b/>
          <w:bCs/>
          <w:color w:val="1f2937"/>
          <w:sz w:val="21"/>
          <w:szCs w:val="21"/>
        </w:rPr>
        <w:t xml:space="preserve">CodeQL</w:t>
      </w:r>
      <w:r>
        <w:rPr>
          <w:color w:val="1f2937"/>
          <w:sz w:val="21"/>
          <w:szCs w:val="21"/>
        </w:rPr>
        <w:t xml:space="preserve"> runs static security analysis over the source. None of the three is advisory; each can stop the pipeline.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CI/CD — build once, promote many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The pipeline (GitHub Actions) builds every image </w:t>
      </w:r>
      <w:r>
        <w:rPr>
          <w:b/>
          <w:bCs/>
          <w:color w:val="1f2937"/>
          <w:sz w:val="21"/>
          <w:szCs w:val="21"/>
        </w:rPr>
        <w:t xml:space="preserve">once</w:t>
      </w:r>
      <w:r>
        <w:rPr>
          <w:color w:val="1f2937"/>
          <w:sz w:val="21"/>
          <w:szCs w:val="21"/>
        </w:rPr>
        <w:t xml:space="preserve"> per commit as a multi-architecture manifest — amd64 for the runners, arm64 for the production VM — scans it, and pushes it to the registry tagged by commit SHA. From that moment nothing is rebuilt: the promotion workflow walks the </w:t>
      </w:r>
      <w:r>
        <w:rPr>
          <w:b/>
          <w:bCs/>
          <w:color w:val="1f2937"/>
          <w:sz w:val="21"/>
          <w:szCs w:val="21"/>
        </w:rPr>
        <w:t xml:space="preserve">same digests</w:t>
      </w:r>
      <w:r>
        <w:rPr>
          <w:color w:val="1f2937"/>
          <w:sz w:val="21"/>
          <w:szCs w:val="21"/>
        </w:rPr>
        <w:t xml:space="preserve"> up an environment ladder, so what production runs is bit-for-bit what the tests certified.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The ladder: </w:t>
      </w:r>
      <w:r>
        <w:rPr>
          <w:rFonts w:ascii="Consolas" w:cs="Consolas" w:eastAsia="Consolas" w:hAnsi="Consolas"/>
          <w:color w:val="263a46"/>
          <w:sz w:val="19"/>
          <w:szCs w:val="19"/>
        </w:rPr>
        <w:t xml:space="preserve">LOCAL → DEV → SIT → TEST/QA → PERF → UAT → STAGING → PROD</w:t>
      </w:r>
      <w:r>
        <w:rPr>
          <w:color w:val="1f2937"/>
          <w:sz w:val="21"/>
          <w:szCs w:val="21"/>
        </w:rPr>
        <w:t xml:space="preserve">, with a weekly DR drill. Each rung answers one question — does it boot, do the services agree, does the customer journey hold end to end, is it fast enough (k6 thresholds), does a human accept it, does it run on the real host — and any rung can stop the release. Configuration varies per rung the twelve-factor way; code never branches on environment name.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Messaging — the Kafka event backbone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Services do not call each other to announce facts; they publish events. A confirmed booking emits an event that payment-service, check-in-service and notification-service each consume independently — payment reconciles money, check-in opens, the passenger is emailed a ticket — with no service blocking on another. Consumers are written to be idempotent, and dead-letter topics with bounded retry back every listener, so a transient failure is retried and a poison message is quarantined rather than blocking the partition.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Data — PostgreSQL and Flyway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Each service owns its own PostgreSQL database — no shared schema, no cross-service joins. Schema is owned by </w:t>
      </w:r>
      <w:r>
        <w:rPr>
          <w:b/>
          <w:bCs/>
          <w:color w:val="1f2937"/>
          <w:sz w:val="21"/>
          <w:szCs w:val="21"/>
        </w:rPr>
        <w:t xml:space="preserve">Flyway</w:t>
      </w:r>
      <w:r>
        <w:rPr>
          <w:color w:val="1f2937"/>
          <w:sz w:val="21"/>
          <w:szCs w:val="21"/>
        </w:rPr>
        <w:t xml:space="preserve">: every change is a numbered, immutable migration, applied and validated at start-up; Hibernate is set to validate-only in production, never to generate DDL. The idempotency and fare-rule work in this addendum shipped as new Flyway migrations, so the schema history is a complete, replayable record.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Orchestration — Docker Compose and Kubernetes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The running platform is Docker Compose: multi-architecture images, loopback-bound ports behind a single Caddy TLS front door, internal services unpublished. A </w:t>
      </w:r>
      <w:r>
        <w:rPr>
          <w:b/>
          <w:bCs/>
          <w:color w:val="1f2937"/>
          <w:sz w:val="21"/>
          <w:szCs w:val="21"/>
        </w:rPr>
        <w:t xml:space="preserve">complete 28-file Kubernetes manifest tree</w:t>
      </w:r>
      <w:r>
        <w:rPr>
          <w:color w:val="1f2937"/>
          <w:sz w:val="21"/>
          <w:szCs w:val="21"/>
        </w:rPr>
        <w:t xml:space="preserve"> — every service, the datastores, and the full observability stack — exists on a dedicated branch, with the health-probe endpoints (/livez, /readyz) already shipped on the main line as its groundwork. It awaits a cluster to be verified against; the design is finished, not aspirational.</w:t>
      </w:r>
    </w:p>
    <w:p>
      <w:pPr>
        <w:pStyle w:val="Heading2"/>
        <w:spacing w:after="90" w:before="220"/>
      </w:pPr>
      <w:r>
        <w:rPr>
          <w:b/>
          <w:bCs/>
          <w:color w:val="263a46"/>
          <w:sz w:val="25"/>
          <w:szCs w:val="25"/>
        </w:rPr>
        <w:t xml:space="preserve">Resilience and security</w:t>
      </w:r>
    </w:p>
    <w:p>
      <w:pPr>
        <w:spacing w:after="120" w:line="276"/>
      </w:pPr>
      <w:r>
        <w:rPr>
          <w:b/>
          <w:bCs/>
          <w:color w:val="1f2937"/>
          <w:sz w:val="21"/>
          <w:szCs w:val="21"/>
        </w:rPr>
        <w:t xml:space="preserve">resilience4j</w:t>
      </w:r>
      <w:r>
        <w:rPr>
          <w:color w:val="1f2937"/>
          <w:sz w:val="21"/>
          <w:szCs w:val="21"/>
        </w:rPr>
        <w:t xml:space="preserve"> wraps every outbound service call in a circuit breaker, bulkhead and retry, with the thresholds tuned against the Grafana dashboards. Security is asymmetric-signed throughout: </w:t>
      </w:r>
      <w:r>
        <w:rPr>
          <w:b/>
          <w:bCs/>
          <w:color w:val="1f2937"/>
          <w:sz w:val="21"/>
          <w:szCs w:val="21"/>
        </w:rPr>
        <w:t xml:space="preserve">RS256 JWTs</w:t>
      </w:r>
      <w:r>
        <w:rPr>
          <w:color w:val="1f2937"/>
          <w:sz w:val="21"/>
          <w:szCs w:val="21"/>
        </w:rPr>
        <w:t xml:space="preserve"> minted only by auth-service and verified locally by every service with a shared public key; per-service machine credentials with least-privilege audiences; ownership enforced at the object level. The public key verifies, the private key — held in one service — signs.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63a46"/>
          <w:sz w:val="30"/>
          <w:szCs w:val="30"/>
        </w:rPr>
        <w:t xml:space="preserve">Test evidence</w:t>
      </w:r>
    </w:p>
    <w:p>
      <w:pPr>
        <w:spacing w:after="120" w:line="276"/>
      </w:pPr>
      <w:r>
        <w:rPr>
          <w:color w:val="1f2937"/>
          <w:sz w:val="21"/>
          <w:szCs w:val="21"/>
        </w:rPr>
        <w:t xml:space="preserve">The features in Part 1 are covered by automated tests at every level — unit, integration (Testcontainers against real PostgreSQL and Kafka), an end-to-end certification suite against the promoted images, and front-end component tests. Representative measured backend totals at the time of writing:</w:t>
      </w:r>
    </w:p>
    <w:tbl>
      <w:tblPr>
        <w:tblW w:type="dxa" w:w="7300"/>
        <w:tblBorders>
          <w:top w:val="single" w:color="d9e5ec" w:sz="4"/>
          <w:left w:val="single" w:color="d9e5ec" w:sz="4"/>
          <w:bottom w:val="single" w:color="d9e5ec" w:sz="4"/>
          <w:right w:val="single" w:color="d9e5ec" w:sz="4"/>
          <w:insideH w:val="single" w:color="d9e5ec" w:sz="4"/>
          <w:insideV w:val="single" w:color="d9e5ec" w:sz="4"/>
        </w:tblBorders>
      </w:tblPr>
      <w:tblGrid>
        <w:gridCol w:w="3400"/>
        <w:gridCol w:w="2000"/>
        <w:gridCol w:w="1900"/>
      </w:tblGrid>
      <w:tr>
        <w:trPr>
          <w:tblHeader/>
        </w:trPr>
        <w:tc>
          <w:tcPr>
            <w:tcW w:type="dxa" w:w="34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900"/>
            <w:shd w:fill="263a4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booking-service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490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flight-service</w:t>
            </w:r>
          </w:p>
        </w:tc>
        <w:tc>
          <w:tcPr>
            <w:tcW w:type="dxa" w:w="20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220</w:t>
            </w:r>
          </w:p>
        </w:tc>
        <w:tc>
          <w:tcPr>
            <w:tcW w:type="dxa" w:w="1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183+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20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126</w:t>
            </w:r>
          </w:p>
        </w:tc>
        <w:tc>
          <w:tcPr>
            <w:tcW w:type="dxa" w:w="1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checkin-service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157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20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skybook-security (shared)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 end (Vitest)</w:t>
            </w:r>
          </w:p>
        </w:tc>
        <w:tc>
          <w:tcPr>
            <w:tcW w:type="dxa" w:w="20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76</w:t>
            </w:r>
          </w:p>
        </w:tc>
        <w:tc>
          <w:tcPr>
            <w:tcW w:type="dxa" w:w="1900"/>
            <w:shd w:fill="eef4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line="276"/>
      </w:pPr>
      <w:r>
        <w:rPr>
          <w:i/>
          <w:iCs/>
          <w:color w:val="475569"/>
          <w:sz w:val="19"/>
          <w:szCs w:val="19"/>
        </w:rPr>
        <w:t xml:space="preserve">Numbers are point-in-time and grow with each increment; the pipeline’s gates, not this table, are the authority on any given commit.</w:t>
      </w:r>
    </w:p>
    <w:p>
      <w:pPr>
        <w:spacing w:before="400"/>
        <w:jc w:val="center"/>
      </w:pPr>
      <w:r>
        <w:rPr>
          <w:color w:val="475569"/>
          <w:sz w:val="18"/>
          <w:szCs w:val="18"/>
        </w:rPr>
        <w:t xml:space="preserve">© 2026 Praveenreddy Somireddy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SkyBook — Platform Evolution &amp; Engineering Toolchain</dc:title>
  <dc:creator>Praveenreddy Somireddy</dc:creator>
  <cp:lastModifiedBy>Un-named</cp:lastModifiedBy>
  <cp:revision>1</cp:revision>
  <dcterms:created xsi:type="dcterms:W3CDTF">2026-08-07T19:29:17.420Z</dcterms:created>
  <dcterms:modified xsi:type="dcterms:W3CDTF">2026-08-07T19:29:17.422Z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