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8138"/>
      </w:tblGrid>
      <w:tr>
        <w:tc>
          <w:tcPr>
            <w:tcW w:type="dxa" w:w="1500"/>
            <w:tcBorders>
              <w:top w:val="none" w:color="FFFFFF" w:sz="0"/>
              <w:left w:val="none" w:color="FFFFFF" w:sz="0"/>
              <w:bottom w:val="none" w:color="FFFFFF" w:sz="0"/>
              <w:right w:val="none" w:color="FFFFFF" w:sz="0"/>
            </w:tcBorders>
            <w:tcMar>
              <w:left w:type="dxa" w:w="0"/>
              <w:right w:type="dxa" w:w="100"/>
            </w:tcMar>
            <w:vAlign w:val="center"/>
          </w:tcPr>
          <w:p>
            <w:r>
              <w:drawing>
                <wp:inline distT="0" distB="0" distL="0" distR="0">
                  <wp:extent cx="781050" cy="781050"/>
                  <wp:effectExtent t="0" r="0" b="0" l="0"/>
                  <wp:docPr id="1" name="mascot" descr="AIA Voice Insights mascot" title="AIA Voice Insigh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781050" cy="781050"/>
                          </a:xfrm>
                          <a:prstGeom prst="rect">
                            <a:avLst/>
                          </a:prstGeom>
                        </pic:spPr>
                      </pic:pic>
                    </a:graphicData>
                  </a:graphic>
                </wp:inline>
              </w:drawing>
            </w:r>
          </w:p>
        </w:tc>
        <w:tc>
          <w:tcPr>
            <w:tcW w:type="dxa" w:w="8138"/>
            <w:tcBorders>
              <w:top w:val="none" w:color="FFFFFF" w:sz="0"/>
              <w:left w:val="none" w:color="FFFFFF" w:sz="0"/>
              <w:bottom w:val="none" w:color="FFFFFF" w:sz="0"/>
              <w:right w:val="none" w:color="FFFFFF" w:sz="0"/>
            </w:tcBorders>
            <w:vAlign w:val="center"/>
          </w:tcPr>
          <w:p>
            <w:pPr>
              <w:spacing w:after="100"/>
            </w:pPr>
            <w:r>
              <w:drawing>
                <wp:inline distT="0" distB="0" distL="0" distR="0">
                  <wp:extent cx="2857500" cy="237173"/>
                  <wp:effectExtent t="0" r="0" b="0" l="0"/>
                  <wp:docPr id="1" name="wordmark" descr="AIA Voice Insights wordmark" title="AIA Voice Insigh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57500" cy="237173"/>
                          </a:xfrm>
                          <a:prstGeom prst="rect">
                            <a:avLst/>
                          </a:prstGeom>
                        </pic:spPr>
                      </pic:pic>
                    </a:graphicData>
                  </a:graphic>
                </wp:inline>
              </w:drawing>
            </w:r>
          </w:p>
          <w:p>
            <w:r>
              <w:rPr>
                <w:rFonts w:ascii="Arial" w:cs="Arial" w:eastAsia="Arial" w:hAnsi="Arial"/>
                <w:b/>
                <w:bCs/>
                <w:color w:val="6E6E73"/>
                <w:sz w:val="17"/>
                <w:szCs w:val="17"/>
              </w:rPr>
              <w:t xml:space="preserve">From customer conversation to agent action</w:t>
            </w:r>
          </w:p>
        </w:tc>
      </w:tr>
    </w:tbl>
    <w:p>
      <w:pPr>
        <w:pBdr>
          <w:bottom w:val="single" w:color="D31145" w:sz="18" w:space="1"/>
        </w:pBdr>
        <w:spacing w:after="160" w:before="120"/>
      </w:pPr>
    </w:p>
    <w:p>
      <w:pPr>
        <w:spacing w:after="40"/>
      </w:pPr>
      <w:r>
        <w:rPr>
          <w:rFonts w:ascii="Arial" w:cs="Arial" w:eastAsia="Arial" w:hAnsi="Arial"/>
          <w:b/>
          <w:bCs/>
          <w:color w:val="D31145"/>
          <w:sz w:val="17"/>
          <w:szCs w:val="17"/>
        </w:rPr>
        <w:t xml:space="preserve">PRE-READ FOR THE EXECUTIVE COMMITTEE</w:t>
      </w:r>
    </w:p>
    <w:p>
      <w:pPr>
        <w:spacing w:after="60"/>
      </w:pPr>
      <w:r>
        <w:rPr>
          <w:rFonts w:ascii="Arial" w:cs="Arial" w:eastAsia="Arial" w:hAnsi="Arial"/>
          <w:b/>
          <w:bCs/>
          <w:color w:val="1D1D1F"/>
          <w:sz w:val="48"/>
          <w:szCs w:val="48"/>
        </w:rPr>
        <w:t xml:space="preserve">The business case in two slides</w:t>
      </w:r>
    </w:p>
    <w:p>
      <w:pPr>
        <w:spacing w:after="200"/>
      </w:pPr>
      <w:r>
        <w:rPr>
          <w:rFonts w:ascii="Arial" w:cs="Arial" w:eastAsia="Arial" w:hAnsi="Arial"/>
          <w:color w:val="6E6E73"/>
          <w:sz w:val="19"/>
          <w:szCs w:val="19"/>
        </w:rPr>
        <w:t xml:space="preserve">5-minute read</w:t>
      </w:r>
    </w:p>
    <w:p>
      <w:pPr>
        <w:spacing w:after="100" w:line="270"/>
      </w:pPr>
      <w:r>
        <w:rPr>
          <w:rFonts w:ascii="Arial" w:cs="Arial" w:eastAsia="Arial" w:hAnsi="Arial"/>
          <w:color w:val="1D1D1F"/>
          <w:sz w:val="20"/>
          <w:szCs w:val="20"/>
        </w:rPr>
        <w:t xml:space="preserve">One idea sits behind both slides. Every customer conversation holds what decides whether a family is protected well: who depends on whom, what worries them, what they can afford. Today some agents record it on paper, others key it into i-PoS, our point-of-sale system. Either way, </w:t>
      </w:r>
      <w:r>
        <w:rPr>
          <w:rFonts w:ascii="Arial" w:cs="Arial" w:eastAsia="Arial" w:hAnsi="Arial"/>
          <w:b/>
          <w:bCs/>
          <w:color w:val="1D1D1F"/>
          <w:sz w:val="20"/>
          <w:szCs w:val="20"/>
        </w:rPr>
        <w:t xml:space="preserve">they type it all from memory, after the meeting</w:t>
      </w:r>
      <w:r>
        <w:rPr>
          <w:rFonts w:ascii="Arial" w:cs="Arial" w:eastAsia="Arial" w:hAnsi="Arial"/>
          <w:color w:val="1D1D1F"/>
          <w:sz w:val="20"/>
          <w:szCs w:val="20"/>
        </w:rPr>
        <w:t xml:space="preserve">, so the record is late, uneven and only as good as what the agent can recall.</w:t>
      </w:r>
    </w:p>
    <w:p>
      <w:pPr>
        <w:spacing w:after="100" w:line="270"/>
      </w:pPr>
      <w:r>
        <w:rPr>
          <w:rFonts w:ascii="Arial" w:cs="Arial" w:eastAsia="Arial" w:hAnsi="Arial"/>
          <w:b/>
          <w:bCs/>
          <w:color w:val="1D1D1F"/>
          <w:sz w:val="20"/>
          <w:szCs w:val="20"/>
        </w:rPr>
        <w:t xml:space="preserve">Voice Insights is a next-generation system: it turns the conversation itself into structured insight and ready-to-review documents within about half a minute</w:t>
      </w:r>
      <w:r>
        <w:rPr>
          <w:rFonts w:ascii="Arial" w:cs="Arial" w:eastAsia="Arial" w:hAnsi="Arial"/>
          <w:color w:val="1D1D1F"/>
          <w:sz w:val="20"/>
          <w:szCs w:val="20"/>
        </w:rPr>
        <w:t xml:space="preserve">, in English, Mandarin, Malay or Tamil. Agents check and correct instead of typing from memory, and spend their time with customers instead of with forms. AIA Singapore gains an advice process that is consistent, visible and better documented across the whole agency force.</w:t>
      </w:r>
    </w:p>
    <w:p>
      <w:pPr>
        <w:keepNext/>
        <w:pBdr>
          <w:left w:val="single" w:color="D31145" w:sz="24" w:space="8"/>
        </w:pBdr>
        <w:spacing w:after="80" w:before="160"/>
        <w:ind w:left="140"/>
      </w:pPr>
      <w:r>
        <w:rPr>
          <w:rFonts w:ascii="Arial" w:cs="Arial" w:eastAsia="Arial" w:hAnsi="Arial"/>
          <w:b/>
          <w:bCs/>
          <w:color w:val="1D1D1F"/>
          <w:sz w:val="24"/>
          <w:szCs w:val="24"/>
        </w:rPr>
        <w:t xml:space="preserve">The two slides at a glance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3900"/>
        <w:gridCol w:w="4038"/>
      </w:tblGrid>
      <w:tr>
        <w:trPr>
          <w:tblHeader/>
        </w:trPr>
        <w:tc>
          <w:tcPr>
            <w:tcW w:type="dxa" w:w="1700"/>
            <w:tcBorders>
              <w:top w:val="single" w:color="D9D9DE" w:sz="4"/>
              <w:left w:val="single" w:color="D9D9DE" w:sz="4"/>
              <w:bottom w:val="single" w:color="D9D9DE" w:sz="4"/>
              <w:right w:val="single" w:color="D9D9DE" w:sz="4"/>
            </w:tcBorders>
            <w:shd w:fill="D31145" w:color="auto" w:val="clear"/>
            <w:tcMar>
              <w:top w:type="dxa" w:w="50"/>
              <w:left w:type="dxa" w:w="110"/>
              <w:bottom w:type="dxa" w:w="50"/>
              <w:right w:type="dxa" w:w="110"/>
            </w:tcMar>
            <w:vAlign w:val="center"/>
          </w:tcPr>
          <w:p>
            <w:pPr>
              <w:spacing w:after="10" w:line="252"/>
            </w:pPr>
          </w:p>
        </w:tc>
        <w:tc>
          <w:tcPr>
            <w:tcW w:type="dxa" w:w="3900"/>
            <w:tcBorders>
              <w:top w:val="single" w:color="D9D9DE" w:sz="4"/>
              <w:left w:val="single" w:color="D9D9DE" w:sz="4"/>
              <w:bottom w:val="single" w:color="D9D9DE" w:sz="4"/>
              <w:right w:val="single" w:color="D9D9DE" w:sz="4"/>
            </w:tcBorders>
            <w:shd w:fill="D31145" w:color="auto" w:val="clear"/>
            <w:tcMar>
              <w:top w:type="dxa" w:w="50"/>
              <w:left w:type="dxa" w:w="110"/>
              <w:bottom w:type="dxa" w:w="50"/>
              <w:right w:type="dxa" w:w="110"/>
            </w:tcMar>
            <w:vAlign w:val="center"/>
          </w:tcPr>
          <w:p>
            <w:pPr>
              <w:spacing w:after="10" w:line="252"/>
            </w:pPr>
            <w:r>
              <w:rPr>
                <w:rFonts w:ascii="Arial" w:cs="Arial" w:eastAsia="Arial" w:hAnsi="Arial"/>
                <w:b/>
                <w:bCs/>
                <w:color w:val="FFFFFF"/>
                <w:sz w:val="17"/>
                <w:szCs w:val="17"/>
              </w:rPr>
              <w:t xml:space="preserve">Slide 1 · Our agents</w:t>
            </w:r>
          </w:p>
        </w:tc>
        <w:tc>
          <w:tcPr>
            <w:tcW w:type="dxa" w:w="4038"/>
            <w:tcBorders>
              <w:top w:val="single" w:color="D9D9DE" w:sz="4"/>
              <w:left w:val="single" w:color="D9D9DE" w:sz="4"/>
              <w:bottom w:val="single" w:color="D9D9DE" w:sz="4"/>
              <w:right w:val="single" w:color="D9D9DE" w:sz="4"/>
            </w:tcBorders>
            <w:shd w:fill="D31145" w:color="auto" w:val="clear"/>
            <w:tcMar>
              <w:top w:type="dxa" w:w="50"/>
              <w:left w:type="dxa" w:w="110"/>
              <w:bottom w:type="dxa" w:w="50"/>
              <w:right w:type="dxa" w:w="110"/>
            </w:tcMar>
            <w:vAlign w:val="center"/>
          </w:tcPr>
          <w:p>
            <w:pPr>
              <w:spacing w:after="10" w:line="252"/>
            </w:pPr>
            <w:r>
              <w:rPr>
                <w:rFonts w:ascii="Arial" w:cs="Arial" w:eastAsia="Arial" w:hAnsi="Arial"/>
                <w:b/>
                <w:bCs/>
                <w:color w:val="FFFFFF"/>
                <w:sz w:val="17"/>
                <w:szCs w:val="17"/>
              </w:rPr>
              <w:t xml:space="preserve">Slide 2 · AIA Singapore</w:t>
            </w:r>
          </w:p>
        </w:tc>
      </w:tr>
      <w:tr>
        <w:trPr>
          <w:cantSplit/>
        </w:trPr>
        <w:tc>
          <w:tcPr>
            <w:tcW w:type="dxa" w:w="1700"/>
            <w:tcBorders>
              <w:top w:val="single" w:color="D9D9DE" w:sz="4"/>
              <w:left w:val="single" w:color="D9D9DE" w:sz="4"/>
              <w:bottom w:val="single" w:color="D9D9DE" w:sz="4"/>
              <w:right w:val="single" w:color="D9D9DE" w:sz="4"/>
            </w:tcBorders>
            <w:tcMar>
              <w:top w:type="dxa" w:w="50"/>
              <w:left w:type="dxa" w:w="110"/>
              <w:bottom w:type="dxa" w:w="50"/>
              <w:right w:type="dxa" w:w="110"/>
            </w:tcMar>
            <w:vAlign w:val="center"/>
          </w:tcPr>
          <w:p>
            <w:pPr>
              <w:spacing w:after="10" w:line="252"/>
            </w:pPr>
            <w:r>
              <w:rPr>
                <w:rFonts w:ascii="Arial" w:cs="Arial" w:eastAsia="Arial" w:hAnsi="Arial"/>
                <w:b/>
                <w:bCs/>
                <w:color w:val="1D1D1F"/>
                <w:sz w:val="17"/>
                <w:szCs w:val="17"/>
              </w:rPr>
              <w:t xml:space="preserve">Message</w:t>
            </w:r>
          </w:p>
        </w:tc>
        <w:tc>
          <w:tcPr>
            <w:tcW w:type="dxa" w:w="3900"/>
            <w:tcBorders>
              <w:top w:val="single" w:color="D9D9DE" w:sz="4"/>
              <w:left w:val="single" w:color="D9D9DE" w:sz="4"/>
              <w:bottom w:val="single" w:color="D9D9DE" w:sz="4"/>
              <w:right w:val="single" w:color="D9D9DE" w:sz="4"/>
            </w:tcBorders>
            <w:tcMar>
              <w:top w:type="dxa" w:w="50"/>
              <w:left w:type="dxa" w:w="110"/>
              <w:bottom w:type="dxa" w:w="50"/>
              <w:right w:type="dxa" w:w="110"/>
            </w:tcMar>
            <w:vAlign w:val="center"/>
          </w:tcPr>
          <w:p>
            <w:pPr>
              <w:spacing w:after="10" w:line="252"/>
            </w:pPr>
            <w:r>
              <w:rPr>
                <w:rFonts w:ascii="Arial" w:cs="Arial" w:eastAsia="Arial" w:hAnsi="Arial"/>
                <w:color w:val="1D1D1F"/>
                <w:sz w:val="17"/>
                <w:szCs w:val="17"/>
              </w:rPr>
              <w:t xml:space="preserve">Agents get their evenings back, and customers get a better conversation.</w:t>
            </w:r>
          </w:p>
        </w:tc>
        <w:tc>
          <w:tcPr>
            <w:tcW w:type="dxa" w:w="4038"/>
            <w:tcBorders>
              <w:top w:val="single" w:color="D9D9DE" w:sz="4"/>
              <w:left w:val="single" w:color="D9D9DE" w:sz="4"/>
              <w:bottom w:val="single" w:color="D9D9DE" w:sz="4"/>
              <w:right w:val="single" w:color="D9D9DE" w:sz="4"/>
            </w:tcBorders>
            <w:tcMar>
              <w:top w:type="dxa" w:w="50"/>
              <w:left w:type="dxa" w:w="110"/>
              <w:bottom w:type="dxa" w:w="50"/>
              <w:right w:type="dxa" w:w="110"/>
            </w:tcMar>
            <w:vAlign w:val="center"/>
          </w:tcPr>
          <w:p>
            <w:pPr>
              <w:spacing w:after="10" w:line="252"/>
            </w:pPr>
            <w:r>
              <w:rPr>
                <w:rFonts w:ascii="Arial" w:cs="Arial" w:eastAsia="Arial" w:hAnsi="Arial"/>
                <w:color w:val="1D1D1F"/>
                <w:sz w:val="17"/>
                <w:szCs w:val="17"/>
              </w:rPr>
              <w:t xml:space="preserve">A consistent, visible, compliant advice process across every agent, at well under one dollar a conversation.</w:t>
            </w:r>
          </w:p>
        </w:tc>
      </w:tr>
      <w:tr>
        <w:trPr>
          <w:cantSplit/>
        </w:trPr>
        <w:tc>
          <w:tcPr>
            <w:tcW w:type="dxa" w:w="1700"/>
            <w:tcBorders>
              <w:top w:val="single" w:color="D9D9DE" w:sz="4"/>
              <w:left w:val="single" w:color="D9D9DE" w:sz="4"/>
              <w:bottom w:val="single" w:color="D9D9DE" w:sz="4"/>
              <w:right w:val="single" w:color="D9D9DE" w:sz="4"/>
            </w:tcBorders>
            <w:shd w:fill="F5F5F7" w:color="auto" w:val="clear"/>
            <w:tcMar>
              <w:top w:type="dxa" w:w="50"/>
              <w:left w:type="dxa" w:w="110"/>
              <w:bottom w:type="dxa" w:w="50"/>
              <w:right w:type="dxa" w:w="110"/>
            </w:tcMar>
            <w:vAlign w:val="center"/>
          </w:tcPr>
          <w:p>
            <w:pPr>
              <w:spacing w:after="10" w:line="252"/>
            </w:pPr>
            <w:r>
              <w:rPr>
                <w:rFonts w:ascii="Arial" w:cs="Arial" w:eastAsia="Arial" w:hAnsi="Arial"/>
                <w:b/>
                <w:bCs/>
                <w:color w:val="1D1D1F"/>
                <w:sz w:val="17"/>
                <w:szCs w:val="17"/>
              </w:rPr>
              <w:t xml:space="preserve">Core gains</w:t>
            </w:r>
          </w:p>
        </w:tc>
        <w:tc>
          <w:tcPr>
            <w:tcW w:type="dxa" w:w="3900"/>
            <w:tcBorders>
              <w:top w:val="single" w:color="D9D9DE" w:sz="4"/>
              <w:left w:val="single" w:color="D9D9DE" w:sz="4"/>
              <w:bottom w:val="single" w:color="D9D9DE" w:sz="4"/>
              <w:right w:val="single" w:color="D9D9DE" w:sz="4"/>
            </w:tcBorders>
            <w:shd w:fill="F5F5F7" w:color="auto" w:val="clear"/>
            <w:tcMar>
              <w:top w:type="dxa" w:w="50"/>
              <w:left w:type="dxa" w:w="110"/>
              <w:bottom w:type="dxa" w:w="50"/>
              <w:right w:type="dxa" w:w="110"/>
            </w:tcMar>
            <w:vAlign w:val="center"/>
          </w:tcPr>
          <w:p>
            <w:pPr>
              <w:spacing w:after="10" w:line="252"/>
            </w:pPr>
            <w:r>
              <w:rPr>
                <w:rFonts w:ascii="Arial" w:cs="Arial" w:eastAsia="Arial" w:hAnsi="Arial"/>
                <w:color w:val="1D1D1F"/>
                <w:sz w:val="17"/>
                <w:szCs w:val="17"/>
              </w:rPr>
              <w:t xml:space="preserve">Time back · better conversations · fewer missed needs · safer advice · every customer in their own language</w:t>
            </w:r>
          </w:p>
        </w:tc>
        <w:tc>
          <w:tcPr>
            <w:tcW w:type="dxa" w:w="4038"/>
            <w:tcBorders>
              <w:top w:val="single" w:color="D9D9DE" w:sz="4"/>
              <w:left w:val="single" w:color="D9D9DE" w:sz="4"/>
              <w:bottom w:val="single" w:color="D9D9DE" w:sz="4"/>
              <w:right w:val="single" w:color="D9D9DE" w:sz="4"/>
            </w:tcBorders>
            <w:shd w:fill="F5F5F7" w:color="auto" w:val="clear"/>
            <w:tcMar>
              <w:top w:type="dxa" w:w="50"/>
              <w:left w:type="dxa" w:w="110"/>
              <w:bottom w:type="dxa" w:w="50"/>
              <w:right w:type="dxa" w:w="110"/>
            </w:tcMar>
            <w:vAlign w:val="center"/>
          </w:tcPr>
          <w:p>
            <w:pPr>
              <w:spacing w:after="10" w:line="252"/>
            </w:pPr>
            <w:r>
              <w:rPr>
                <w:rFonts w:ascii="Arial" w:cs="Arial" w:eastAsia="Arial" w:hAnsi="Arial"/>
                <w:color w:val="1D1D1F"/>
                <w:sz w:val="17"/>
                <w:szCs w:val="17"/>
              </w:rPr>
              <w:t xml:space="preserve">Productivity · quality · early compliance · revenue upside · leadership visibility · brand trust</w:t>
            </w:r>
          </w:p>
        </w:tc>
      </w:tr>
    </w:tbl>
    <w:p>
      <w:pPr>
        <w:spacing w:after="60"/>
      </w:pPr>
    </w:p>
    <w:p>
      <w:pPr>
        <w:keepNext/>
        <w:pBdr>
          <w:left w:val="single" w:color="D31145" w:sz="24" w:space="8"/>
        </w:pBdr>
        <w:spacing w:after="80" w:before="160"/>
        <w:ind w:left="140"/>
      </w:pPr>
      <w:r>
        <w:rPr>
          <w:rFonts w:ascii="Arial" w:cs="Arial" w:eastAsia="Arial" w:hAnsi="Arial"/>
          <w:b/>
          <w:bCs/>
          <w:color w:val="1D1D1F"/>
          <w:sz w:val="24"/>
          <w:szCs w:val="24"/>
        </w:rPr>
        <w:t xml:space="preserve">What makes it next generation</w:t>
      </w:r>
    </w:p>
    <w:p>
      <w:pPr>
        <w:spacing w:after="100" w:line="270"/>
      </w:pPr>
      <w:r>
        <w:rPr>
          <w:rFonts w:ascii="Arial" w:cs="Arial" w:eastAsia="Arial" w:hAnsi="Arial"/>
          <w:color w:val="1D1D1F"/>
          <w:sz w:val="20"/>
          <w:szCs w:val="20"/>
        </w:rPr>
        <w:t xml:space="preserve">Paper and point-of-sale entry record what an agent remembers. Voice Insights is built to make the agent’s work simpler at every step, with innovations that no form can offer: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6938"/>
      </w:tblGrid>
      <w:tr>
        <w:trPr>
          <w:tblHeader/>
        </w:trPr>
        <w:tc>
          <w:tcPr>
            <w:tcW w:type="dxa" w:w="2700"/>
            <w:tcBorders>
              <w:top w:val="single" w:color="D9D9DE" w:sz="4"/>
              <w:left w:val="single" w:color="D9D9DE" w:sz="4"/>
              <w:bottom w:val="single" w:color="D9D9DE" w:sz="4"/>
              <w:right w:val="single" w:color="D9D9DE" w:sz="4"/>
            </w:tcBorders>
            <w:shd w:fill="D31145" w:color="auto" w:val="clear"/>
            <w:tcMar>
              <w:top w:type="dxa" w:w="50"/>
              <w:left w:type="dxa" w:w="110"/>
              <w:bottom w:type="dxa" w:w="50"/>
              <w:right w:type="dxa" w:w="110"/>
            </w:tcMar>
            <w:vAlign w:val="center"/>
          </w:tcPr>
          <w:p>
            <w:pPr>
              <w:spacing w:after="10" w:line="252"/>
            </w:pPr>
            <w:r>
              <w:rPr>
                <w:rFonts w:ascii="Arial" w:cs="Arial" w:eastAsia="Arial" w:hAnsi="Arial"/>
                <w:b/>
                <w:bCs/>
                <w:color w:val="FFFFFF"/>
                <w:sz w:val="17"/>
                <w:szCs w:val="17"/>
              </w:rPr>
              <w:t xml:space="preserve">Innovation</w:t>
            </w:r>
          </w:p>
        </w:tc>
        <w:tc>
          <w:tcPr>
            <w:tcW w:type="dxa" w:w="6938"/>
            <w:tcBorders>
              <w:top w:val="single" w:color="D9D9DE" w:sz="4"/>
              <w:left w:val="single" w:color="D9D9DE" w:sz="4"/>
              <w:bottom w:val="single" w:color="D9D9DE" w:sz="4"/>
              <w:right w:val="single" w:color="D9D9DE" w:sz="4"/>
            </w:tcBorders>
            <w:shd w:fill="D31145" w:color="auto" w:val="clear"/>
            <w:tcMar>
              <w:top w:type="dxa" w:w="50"/>
              <w:left w:type="dxa" w:w="110"/>
              <w:bottom w:type="dxa" w:w="50"/>
              <w:right w:type="dxa" w:w="110"/>
            </w:tcMar>
            <w:vAlign w:val="center"/>
          </w:tcPr>
          <w:p>
            <w:pPr>
              <w:spacing w:after="10" w:line="252"/>
            </w:pPr>
            <w:r>
              <w:rPr>
                <w:rFonts w:ascii="Arial" w:cs="Arial" w:eastAsia="Arial" w:hAnsi="Arial"/>
                <w:b/>
                <w:bCs/>
                <w:color w:val="FFFFFF"/>
                <w:sz w:val="17"/>
                <w:szCs w:val="17"/>
              </w:rPr>
              <w:t xml:space="preserve">What it does for the agent</w:t>
            </w:r>
          </w:p>
        </w:tc>
      </w:tr>
      <w:tr>
        <w:trPr>
          <w:cantSplit/>
        </w:trPr>
        <w:tc>
          <w:tcPr>
            <w:tcW w:type="dxa" w:w="2700"/>
            <w:tcBorders>
              <w:top w:val="single" w:color="D9D9DE" w:sz="4"/>
              <w:left w:val="single" w:color="D9D9DE" w:sz="4"/>
              <w:bottom w:val="single" w:color="D9D9DE" w:sz="4"/>
              <w:right w:val="single" w:color="D9D9DE" w:sz="4"/>
            </w:tcBorders>
            <w:tcMar>
              <w:top w:type="dxa" w:w="50"/>
              <w:left w:type="dxa" w:w="110"/>
              <w:bottom w:type="dxa" w:w="50"/>
              <w:right w:type="dxa" w:w="110"/>
            </w:tcMar>
            <w:vAlign w:val="center"/>
          </w:tcPr>
          <w:p>
            <w:pPr>
              <w:spacing w:after="10" w:line="252"/>
            </w:pPr>
            <w:r>
              <w:rPr>
                <w:rFonts w:ascii="Arial" w:cs="Arial" w:eastAsia="Arial" w:hAnsi="Arial"/>
                <w:b/>
                <w:bCs/>
                <w:color w:val="1D1D1F"/>
                <w:sz w:val="17"/>
                <w:szCs w:val="17"/>
              </w:rPr>
              <w:t xml:space="preserve">Listens, so nobody types</w:t>
            </w:r>
          </w:p>
        </w:tc>
        <w:tc>
          <w:tcPr>
            <w:tcW w:type="dxa" w:w="6938"/>
            <w:tcBorders>
              <w:top w:val="single" w:color="D9D9DE" w:sz="4"/>
              <w:left w:val="single" w:color="D9D9DE" w:sz="4"/>
              <w:bottom w:val="single" w:color="D9D9DE" w:sz="4"/>
              <w:right w:val="single" w:color="D9D9DE" w:sz="4"/>
            </w:tcBorders>
            <w:tcMar>
              <w:top w:type="dxa" w:w="50"/>
              <w:left w:type="dxa" w:w="110"/>
              <w:bottom w:type="dxa" w:w="50"/>
              <w:right w:type="dxa" w:w="110"/>
            </w:tcMar>
            <w:vAlign w:val="center"/>
          </w:tcPr>
          <w:p>
            <w:pPr>
              <w:spacing w:after="10" w:line="252"/>
            </w:pPr>
            <w:r>
              <w:rPr>
                <w:rFonts w:ascii="Arial" w:cs="Arial" w:eastAsia="Arial" w:hAnsi="Arial"/>
                <w:color w:val="1D1D1F"/>
                <w:sz w:val="17"/>
                <w:szCs w:val="17"/>
              </w:rPr>
              <w:t xml:space="preserve">Captures the real conversation, including mixed English and Mandarin, in four languages</w:t>
            </w:r>
          </w:p>
        </w:tc>
      </w:tr>
      <w:tr>
        <w:trPr>
          <w:cantSplit/>
        </w:trPr>
        <w:tc>
          <w:tcPr>
            <w:tcW w:type="dxa" w:w="2700"/>
            <w:tcBorders>
              <w:top w:val="single" w:color="D9D9DE" w:sz="4"/>
              <w:left w:val="single" w:color="D9D9DE" w:sz="4"/>
              <w:bottom w:val="single" w:color="D9D9DE" w:sz="4"/>
              <w:right w:val="single" w:color="D9D9DE" w:sz="4"/>
            </w:tcBorders>
            <w:shd w:fill="F5F5F7" w:color="auto" w:val="clear"/>
            <w:tcMar>
              <w:top w:type="dxa" w:w="50"/>
              <w:left w:type="dxa" w:w="110"/>
              <w:bottom w:type="dxa" w:w="50"/>
              <w:right w:type="dxa" w:w="110"/>
            </w:tcMar>
            <w:vAlign w:val="center"/>
          </w:tcPr>
          <w:p>
            <w:pPr>
              <w:spacing w:after="10" w:line="252"/>
            </w:pPr>
            <w:r>
              <w:rPr>
                <w:rFonts w:ascii="Arial" w:cs="Arial" w:eastAsia="Arial" w:hAnsi="Arial"/>
                <w:b/>
                <w:bCs/>
                <w:color w:val="1D1D1F"/>
                <w:sz w:val="17"/>
                <w:szCs w:val="17"/>
              </w:rPr>
              <w:t xml:space="preserve">A live picture of the customer</w:t>
            </w:r>
          </w:p>
        </w:tc>
        <w:tc>
          <w:tcPr>
            <w:tcW w:type="dxa" w:w="6938"/>
            <w:tcBorders>
              <w:top w:val="single" w:color="D9D9DE" w:sz="4"/>
              <w:left w:val="single" w:color="D9D9DE" w:sz="4"/>
              <w:bottom w:val="single" w:color="D9D9DE" w:sz="4"/>
              <w:right w:val="single" w:color="D9D9DE" w:sz="4"/>
            </w:tcBorders>
            <w:shd w:fill="F5F5F7" w:color="auto" w:val="clear"/>
            <w:tcMar>
              <w:top w:type="dxa" w:w="50"/>
              <w:left w:type="dxa" w:w="110"/>
              <w:bottom w:type="dxa" w:w="50"/>
              <w:right w:type="dxa" w:w="110"/>
            </w:tcMar>
            <w:vAlign w:val="center"/>
          </w:tcPr>
          <w:p>
            <w:pPr>
              <w:spacing w:after="10" w:line="252"/>
            </w:pPr>
            <w:r>
              <w:rPr>
                <w:rFonts w:ascii="Arial" w:cs="Arial" w:eastAsia="Arial" w:hAnsi="Arial"/>
                <w:color w:val="1D1D1F"/>
                <w:sz w:val="17"/>
                <w:szCs w:val="17"/>
              </w:rPr>
              <w:t xml:space="preserve">Family, hopes and worries build on screen as the customer speaks, each tied to their own words</w:t>
            </w:r>
          </w:p>
        </w:tc>
      </w:tr>
      <w:tr>
        <w:trPr>
          <w:cantSplit/>
        </w:trPr>
        <w:tc>
          <w:tcPr>
            <w:tcW w:type="dxa" w:w="2700"/>
            <w:tcBorders>
              <w:top w:val="single" w:color="D9D9DE" w:sz="4"/>
              <w:left w:val="single" w:color="D9D9DE" w:sz="4"/>
              <w:bottom w:val="single" w:color="D9D9DE" w:sz="4"/>
              <w:right w:val="single" w:color="D9D9DE" w:sz="4"/>
            </w:tcBorders>
            <w:tcMar>
              <w:top w:type="dxa" w:w="50"/>
              <w:left w:type="dxa" w:w="110"/>
              <w:bottom w:type="dxa" w:w="50"/>
              <w:right w:type="dxa" w:w="110"/>
            </w:tcMar>
            <w:vAlign w:val="center"/>
          </w:tcPr>
          <w:p>
            <w:pPr>
              <w:spacing w:after="10" w:line="252"/>
            </w:pPr>
            <w:r>
              <w:rPr>
                <w:rFonts w:ascii="Arial" w:cs="Arial" w:eastAsia="Arial" w:hAnsi="Arial"/>
                <w:b/>
                <w:bCs/>
                <w:color w:val="1D1D1F"/>
                <w:sz w:val="17"/>
                <w:szCs w:val="17"/>
              </w:rPr>
              <w:t xml:space="preserve">A team of specialist AI reviewers</w:t>
            </w:r>
          </w:p>
        </w:tc>
        <w:tc>
          <w:tcPr>
            <w:tcW w:type="dxa" w:w="6938"/>
            <w:tcBorders>
              <w:top w:val="single" w:color="D9D9DE" w:sz="4"/>
              <w:left w:val="single" w:color="D9D9DE" w:sz="4"/>
              <w:bottom w:val="single" w:color="D9D9DE" w:sz="4"/>
              <w:right w:val="single" w:color="D9D9DE" w:sz="4"/>
            </w:tcBorders>
            <w:tcMar>
              <w:top w:type="dxa" w:w="50"/>
              <w:left w:type="dxa" w:w="110"/>
              <w:bottom w:type="dxa" w:w="50"/>
              <w:right w:type="dxa" w:w="110"/>
            </w:tcMar>
            <w:vAlign w:val="center"/>
          </w:tcPr>
          <w:p>
            <w:pPr>
              <w:spacing w:after="10" w:line="252"/>
            </w:pPr>
            <w:r>
              <w:rPr>
                <w:rFonts w:ascii="Arial" w:cs="Arial" w:eastAsia="Arial" w:hAnsi="Arial"/>
                <w:color w:val="1D1D1F"/>
                <w:sz w:val="17"/>
                <w:szCs w:val="17"/>
              </w:rPr>
              <w:t xml:space="preserve">Needs, risk and affordability are assessed together in seconds, with the evidence shown</w:t>
            </w:r>
          </w:p>
        </w:tc>
      </w:tr>
      <w:tr>
        <w:trPr>
          <w:cantSplit/>
        </w:trPr>
        <w:tc>
          <w:tcPr>
            <w:tcW w:type="dxa" w:w="2700"/>
            <w:tcBorders>
              <w:top w:val="single" w:color="D9D9DE" w:sz="4"/>
              <w:left w:val="single" w:color="D9D9DE" w:sz="4"/>
              <w:bottom w:val="single" w:color="D9D9DE" w:sz="4"/>
              <w:right w:val="single" w:color="D9D9DE" w:sz="4"/>
            </w:tcBorders>
            <w:shd w:fill="F5F5F7" w:color="auto" w:val="clear"/>
            <w:tcMar>
              <w:top w:type="dxa" w:w="50"/>
              <w:left w:type="dxa" w:w="110"/>
              <w:bottom w:type="dxa" w:w="50"/>
              <w:right w:type="dxa" w:w="110"/>
            </w:tcMar>
            <w:vAlign w:val="center"/>
          </w:tcPr>
          <w:p>
            <w:pPr>
              <w:spacing w:after="10" w:line="252"/>
            </w:pPr>
            <w:r>
              <w:rPr>
                <w:rFonts w:ascii="Arial" w:cs="Arial" w:eastAsia="Arial" w:hAnsi="Arial"/>
                <w:b/>
                <w:bCs/>
                <w:color w:val="1D1D1F"/>
                <w:sz w:val="17"/>
                <w:szCs w:val="17"/>
              </w:rPr>
              <w:t xml:space="preserve">A voice-first debrief partner</w:t>
            </w:r>
          </w:p>
        </w:tc>
        <w:tc>
          <w:tcPr>
            <w:tcW w:type="dxa" w:w="6938"/>
            <w:tcBorders>
              <w:top w:val="single" w:color="D9D9DE" w:sz="4"/>
              <w:left w:val="single" w:color="D9D9DE" w:sz="4"/>
              <w:bottom w:val="single" w:color="D9D9DE" w:sz="4"/>
              <w:right w:val="single" w:color="D9D9DE" w:sz="4"/>
            </w:tcBorders>
            <w:shd w:fill="F5F5F7" w:color="auto" w:val="clear"/>
            <w:tcMar>
              <w:top w:type="dxa" w:w="50"/>
              <w:left w:type="dxa" w:w="110"/>
              <w:bottom w:type="dxa" w:w="50"/>
              <w:right w:type="dxa" w:w="110"/>
            </w:tcMar>
            <w:vAlign w:val="center"/>
          </w:tcPr>
          <w:p>
            <w:pPr>
              <w:spacing w:after="10" w:line="252"/>
            </w:pPr>
            <w:r>
              <w:rPr>
                <w:rFonts w:ascii="Arial" w:cs="Arial" w:eastAsia="Arial" w:hAnsi="Arial"/>
                <w:color w:val="1D1D1F"/>
                <w:sz w:val="17"/>
                <w:szCs w:val="17"/>
              </w:rPr>
              <w:t xml:space="preserve">Talk through the meeting; it reads back what it understood and asks only about what is missing</w:t>
            </w:r>
          </w:p>
        </w:tc>
      </w:tr>
      <w:tr>
        <w:trPr>
          <w:cantSplit/>
        </w:trPr>
        <w:tc>
          <w:tcPr>
            <w:tcW w:type="dxa" w:w="2700"/>
            <w:tcBorders>
              <w:top w:val="single" w:color="D9D9DE" w:sz="4"/>
              <w:left w:val="single" w:color="D9D9DE" w:sz="4"/>
              <w:bottom w:val="single" w:color="D9D9DE" w:sz="4"/>
              <w:right w:val="single" w:color="D9D9DE" w:sz="4"/>
            </w:tcBorders>
            <w:tcMar>
              <w:top w:type="dxa" w:w="50"/>
              <w:left w:type="dxa" w:w="110"/>
              <w:bottom w:type="dxa" w:w="50"/>
              <w:right w:type="dxa" w:w="110"/>
            </w:tcMar>
            <w:vAlign w:val="center"/>
          </w:tcPr>
          <w:p>
            <w:pPr>
              <w:spacing w:after="10" w:line="252"/>
            </w:pPr>
            <w:r>
              <w:rPr>
                <w:rFonts w:ascii="Arial" w:cs="Arial" w:eastAsia="Arial" w:hAnsi="Arial"/>
                <w:b/>
                <w:bCs/>
                <w:color w:val="1D1D1F"/>
                <w:sz w:val="17"/>
                <w:szCs w:val="17"/>
              </w:rPr>
              <w:t xml:space="preserve">Ask, explore, rehearse</w:t>
            </w:r>
          </w:p>
        </w:tc>
        <w:tc>
          <w:tcPr>
            <w:tcW w:type="dxa" w:w="6938"/>
            <w:tcBorders>
              <w:top w:val="single" w:color="D9D9DE" w:sz="4"/>
              <w:left w:val="single" w:color="D9D9DE" w:sz="4"/>
              <w:bottom w:val="single" w:color="D9D9DE" w:sz="4"/>
              <w:right w:val="single" w:color="D9D9DE" w:sz="4"/>
            </w:tcBorders>
            <w:tcMar>
              <w:top w:type="dxa" w:w="50"/>
              <w:left w:type="dxa" w:w="110"/>
              <w:bottom w:type="dxa" w:w="50"/>
              <w:right w:type="dxa" w:w="110"/>
            </w:tcMar>
            <w:vAlign w:val="center"/>
          </w:tcPr>
          <w:p>
            <w:pPr>
              <w:spacing w:after="10" w:line="252"/>
            </w:pPr>
            <w:r>
              <w:rPr>
                <w:rFonts w:ascii="Arial" w:cs="Arial" w:eastAsia="Arial" w:hAnsi="Arial"/>
                <w:color w:val="1D1D1F"/>
                <w:sz w:val="17"/>
                <w:szCs w:val="17"/>
              </w:rPr>
              <w:t xml:space="preserve">Question the analysis by voice, try “what if…?” changes, and practise the next meeting with a coach</w:t>
            </w:r>
          </w:p>
        </w:tc>
      </w:tr>
      <w:tr>
        <w:trPr>
          <w:cantSplit/>
        </w:trPr>
        <w:tc>
          <w:tcPr>
            <w:tcW w:type="dxa" w:w="2700"/>
            <w:tcBorders>
              <w:top w:val="single" w:color="D9D9DE" w:sz="4"/>
              <w:left w:val="single" w:color="D9D9DE" w:sz="4"/>
              <w:bottom w:val="single" w:color="D9D9DE" w:sz="4"/>
              <w:right w:val="single" w:color="D9D9DE" w:sz="4"/>
            </w:tcBorders>
            <w:shd w:fill="F5F5F7" w:color="auto" w:val="clear"/>
            <w:tcMar>
              <w:top w:type="dxa" w:w="50"/>
              <w:left w:type="dxa" w:w="110"/>
              <w:bottom w:type="dxa" w:w="50"/>
              <w:right w:type="dxa" w:w="110"/>
            </w:tcMar>
            <w:vAlign w:val="center"/>
          </w:tcPr>
          <w:p>
            <w:pPr>
              <w:spacing w:after="10" w:line="252"/>
            </w:pPr>
            <w:r>
              <w:rPr>
                <w:rFonts w:ascii="Arial" w:cs="Arial" w:eastAsia="Arial" w:hAnsi="Arial"/>
                <w:b/>
                <w:bCs/>
                <w:color w:val="1D1D1F"/>
                <w:sz w:val="17"/>
                <w:szCs w:val="17"/>
              </w:rPr>
              <w:t xml:space="preserve">Paperwork drafted, hands-free</w:t>
            </w:r>
          </w:p>
        </w:tc>
        <w:tc>
          <w:tcPr>
            <w:tcW w:type="dxa" w:w="6938"/>
            <w:tcBorders>
              <w:top w:val="single" w:color="D9D9DE" w:sz="4"/>
              <w:left w:val="single" w:color="D9D9DE" w:sz="4"/>
              <w:bottom w:val="single" w:color="D9D9DE" w:sz="4"/>
              <w:right w:val="single" w:color="D9D9DE" w:sz="4"/>
            </w:tcBorders>
            <w:shd w:fill="F5F5F7" w:color="auto" w:val="clear"/>
            <w:tcMar>
              <w:top w:type="dxa" w:w="50"/>
              <w:left w:type="dxa" w:w="110"/>
              <w:bottom w:type="dxa" w:w="50"/>
              <w:right w:type="dxa" w:w="110"/>
            </w:tcMar>
            <w:vAlign w:val="center"/>
          </w:tcPr>
          <w:p>
            <w:pPr>
              <w:spacing w:after="10" w:line="252"/>
            </w:pPr>
            <w:r>
              <w:rPr>
                <w:rFonts w:ascii="Arial" w:cs="Arial" w:eastAsia="Arial" w:hAnsi="Arial"/>
                <w:color w:val="1D1D1F"/>
                <w:sz w:val="17"/>
                <w:szCs w:val="17"/>
              </w:rPr>
              <w:t xml:space="preserve">Fact-find, record of advice, follow-up and CRM note arrive as drafts; reports can be read aloud on the move</w:t>
            </w:r>
          </w:p>
        </w:tc>
      </w:tr>
    </w:tbl>
    <w:p>
      <w:pPr>
        <w:spacing w:after="60"/>
      </w:pPr>
    </w:p>
    <w:p>
      <w:pPr>
        <w:keepNext/>
        <w:pBdr>
          <w:left w:val="single" w:color="D31145" w:sz="24" w:space="8"/>
        </w:pBdr>
        <w:spacing w:after="80" w:before="160"/>
        <w:ind w:left="140"/>
      </w:pPr>
      <w:r>
        <w:rPr>
          <w:rFonts w:ascii="Arial" w:cs="Arial" w:eastAsia="Arial" w:hAnsi="Arial"/>
          <w:b/>
          <w:bCs/>
          <w:color w:val="1D1D1F"/>
          <w:sz w:val="24"/>
          <w:szCs w:val="24"/>
        </w:rPr>
        <w:t xml:space="preserve">What we ask the Committee to take away</w:t>
      </w:r>
    </w:p>
    <w:p>
      <w:pPr>
        <w:pStyle w:val="ListParagraph"/>
        <w:numPr>
          <w:ilvl w:val="0"/>
          <w:numId w:val="2"/>
        </w:numPr>
        <w:spacing w:after="60" w:line="262"/>
      </w:pPr>
      <w:r>
        <w:rPr>
          <w:rFonts w:ascii="Arial" w:cs="Arial" w:eastAsia="Arial" w:hAnsi="Arial"/>
          <w:b/>
          <w:bCs/>
          <w:color w:val="1D1D1F"/>
          <w:sz w:val="19"/>
          <w:szCs w:val="19"/>
        </w:rPr>
        <w:t xml:space="preserve">Agents win first.</w:t>
      </w:r>
      <w:r>
        <w:rPr>
          <w:rFonts w:ascii="Arial" w:cs="Arial" w:eastAsia="Arial" w:hAnsi="Arial"/>
          <w:color w:val="1D1D1F"/>
          <w:sz w:val="19"/>
          <w:szCs w:val="19"/>
        </w:rPr>
        <w:t xml:space="preserve"> If it saves them time and makes them better in the room, adoption follows, and company value follows adoption.</w:t>
      </w:r>
    </w:p>
    <w:p>
      <w:pPr>
        <w:pStyle w:val="ListParagraph"/>
        <w:numPr>
          <w:ilvl w:val="0"/>
          <w:numId w:val="2"/>
        </w:numPr>
        <w:spacing w:after="60" w:line="262"/>
      </w:pPr>
      <w:r>
        <w:rPr>
          <w:rFonts w:ascii="Arial" w:cs="Arial" w:eastAsia="Arial" w:hAnsi="Arial"/>
          <w:b/>
          <w:bCs/>
          <w:color w:val="1D1D1F"/>
          <w:sz w:val="19"/>
          <w:szCs w:val="19"/>
        </w:rPr>
        <w:t xml:space="preserve">The company benefit is broader than time saved.</w:t>
      </w:r>
      <w:r>
        <w:rPr>
          <w:rFonts w:ascii="Arial" w:cs="Arial" w:eastAsia="Arial" w:hAnsi="Arial"/>
          <w:color w:val="1D1D1F"/>
          <w:sz w:val="19"/>
          <w:szCs w:val="19"/>
        </w:rPr>
        <w:t xml:space="preserve"> Quality, compliance, conversion, visibility and brand are where the larger value lies.</w:t>
      </w:r>
    </w:p>
    <w:p>
      <w:pPr>
        <w:pStyle w:val="ListParagraph"/>
        <w:numPr>
          <w:ilvl w:val="0"/>
          <w:numId w:val="2"/>
        </w:numPr>
        <w:spacing w:after="60" w:line="262"/>
      </w:pPr>
      <w:r>
        <w:rPr>
          <w:rFonts w:ascii="Arial" w:cs="Arial" w:eastAsia="Arial" w:hAnsi="Arial"/>
          <w:b/>
          <w:bCs/>
          <w:color w:val="1D1D1F"/>
          <w:sz w:val="19"/>
          <w:szCs w:val="19"/>
        </w:rPr>
        <w:t xml:space="preserve">The numbers must be AIA’s own.</w:t>
      </w:r>
      <w:r>
        <w:rPr>
          <w:rFonts w:ascii="Arial" w:cs="Arial" w:eastAsia="Arial" w:hAnsi="Arial"/>
          <w:color w:val="1D1D1F"/>
          <w:sz w:val="19"/>
          <w:szCs w:val="19"/>
        </w:rPr>
        <w:t xml:space="preserve"> The illustrations show how value is built; measurement turns them into a business case.</w:t>
      </w:r>
    </w:p>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D31145" w:color="auto" w:val="clear"/>
            <w:tcMar>
              <w:top w:type="dxa" w:w="140"/>
              <w:left w:type="dxa" w:w="300"/>
              <w:bottom w:type="dxa" w:w="140"/>
              <w:right w:type="dxa" w:w="300"/>
            </w:tcMar>
          </w:tcPr>
          <w:p>
            <w:pPr>
              <w:spacing w:after="40"/>
            </w:pPr>
            <w:r>
              <w:rPr>
                <w:rFonts w:ascii="Arial" w:cs="Arial" w:eastAsia="Arial" w:hAnsi="Arial"/>
                <w:b/>
                <w:bCs/>
                <w:color w:val="FFC9D6"/>
                <w:sz w:val="16"/>
                <w:szCs w:val="16"/>
              </w:rPr>
              <w:t xml:space="preserve">SLIDE 1</w:t>
            </w:r>
          </w:p>
          <w:p>
            <w:pPr>
              <w:spacing w:after="80"/>
            </w:pPr>
            <w:r>
              <w:rPr>
                <w:rFonts w:ascii="Arial" w:cs="Arial" w:eastAsia="Arial" w:hAnsi="Arial"/>
                <w:b/>
                <w:bCs/>
                <w:color w:val="FFFFFF"/>
                <w:sz w:val="34"/>
                <w:szCs w:val="34"/>
              </w:rPr>
              <w:t xml:space="preserve">What our insurance agents gain</w:t>
            </w:r>
          </w:p>
          <w:p>
            <w:r>
              <w:rPr>
                <w:rFonts w:ascii="Arial" w:cs="Arial" w:eastAsia="Arial" w:hAnsi="Arial"/>
                <w:i/>
                <w:iCs/>
                <w:color w:val="FFFFFF"/>
                <w:sz w:val="21"/>
                <w:szCs w:val="21"/>
              </w:rPr>
              <w:t xml:space="preserve">“Agents get their evenings back, and customers get a better conversation.”</w:t>
            </w:r>
          </w:p>
        </w:tc>
      </w:tr>
    </w:tbl>
    <w:p>
      <w:pPr>
        <w:spacing w:after="40"/>
      </w:pPr>
    </w:p>
    <w:p>
      <w:pPr>
        <w:keepNext/>
        <w:pBdr>
          <w:left w:val="single" w:color="D31145" w:sz="24" w:space="8"/>
        </w:pBdr>
        <w:spacing w:after="80" w:before="160"/>
        <w:ind w:left="140"/>
      </w:pPr>
      <w:r>
        <w:rPr>
          <w:rFonts w:ascii="Arial" w:cs="Arial" w:eastAsia="Arial" w:hAnsi="Arial"/>
          <w:b/>
          <w:bCs/>
          <w:color w:val="1D1D1F"/>
          <w:sz w:val="24"/>
          <w:szCs w:val="24"/>
        </w:rPr>
        <w:t xml:space="preserve">The agent’s week, before and after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3819"/>
        <w:gridCol w:w="3819"/>
      </w:tblGrid>
      <w:tr>
        <w:trPr>
          <w:tblHeader/>
        </w:trPr>
        <w:tc>
          <w:tcPr>
            <w:tcW w:type="dxa" w:w="2000"/>
            <w:tcBorders>
              <w:top w:val="single" w:color="D9D9DE" w:sz="4"/>
              <w:left w:val="single" w:color="D9D9DE" w:sz="4"/>
              <w:bottom w:val="single" w:color="D9D9DE" w:sz="4"/>
              <w:right w:val="single" w:color="D9D9DE" w:sz="4"/>
            </w:tcBorders>
            <w:shd w:fill="D31145" w:color="auto" w:val="clear"/>
            <w:tcMar>
              <w:top w:type="dxa" w:w="50"/>
              <w:left w:type="dxa" w:w="110"/>
              <w:bottom w:type="dxa" w:w="50"/>
              <w:right w:type="dxa" w:w="110"/>
            </w:tcMar>
            <w:vAlign w:val="center"/>
          </w:tcPr>
          <w:p>
            <w:pPr>
              <w:spacing w:after="10" w:line="252"/>
            </w:pPr>
          </w:p>
        </w:tc>
        <w:tc>
          <w:tcPr>
            <w:tcW w:type="dxa" w:w="3819"/>
            <w:tcBorders>
              <w:top w:val="single" w:color="D9D9DE" w:sz="4"/>
              <w:left w:val="single" w:color="D9D9DE" w:sz="4"/>
              <w:bottom w:val="single" w:color="D9D9DE" w:sz="4"/>
              <w:right w:val="single" w:color="D9D9DE" w:sz="4"/>
            </w:tcBorders>
            <w:shd w:fill="D31145" w:color="auto" w:val="clear"/>
            <w:tcMar>
              <w:top w:type="dxa" w:w="50"/>
              <w:left w:type="dxa" w:w="110"/>
              <w:bottom w:type="dxa" w:w="50"/>
              <w:right w:type="dxa" w:w="110"/>
            </w:tcMar>
            <w:vAlign w:val="center"/>
          </w:tcPr>
          <w:p>
            <w:pPr>
              <w:spacing w:after="10" w:line="252"/>
            </w:pPr>
            <w:r>
              <w:rPr>
                <w:rFonts w:ascii="Arial" w:cs="Arial" w:eastAsia="Arial" w:hAnsi="Arial"/>
                <w:b/>
                <w:bCs/>
                <w:color w:val="FFFFFF"/>
                <w:sz w:val="17"/>
                <w:szCs w:val="17"/>
              </w:rPr>
              <w:t xml:space="preserve">Today</w:t>
            </w:r>
          </w:p>
        </w:tc>
        <w:tc>
          <w:tcPr>
            <w:tcW w:type="dxa" w:w="3819"/>
            <w:tcBorders>
              <w:top w:val="single" w:color="D9D9DE" w:sz="4"/>
              <w:left w:val="single" w:color="D9D9DE" w:sz="4"/>
              <w:bottom w:val="single" w:color="D9D9DE" w:sz="4"/>
              <w:right w:val="single" w:color="D9D9DE" w:sz="4"/>
            </w:tcBorders>
            <w:shd w:fill="D31145" w:color="auto" w:val="clear"/>
            <w:tcMar>
              <w:top w:type="dxa" w:w="50"/>
              <w:left w:type="dxa" w:w="110"/>
              <w:bottom w:type="dxa" w:w="50"/>
              <w:right w:type="dxa" w:w="110"/>
            </w:tcMar>
            <w:vAlign w:val="center"/>
          </w:tcPr>
          <w:p>
            <w:pPr>
              <w:spacing w:after="10" w:line="252"/>
            </w:pPr>
            <w:r>
              <w:rPr>
                <w:rFonts w:ascii="Arial" w:cs="Arial" w:eastAsia="Arial" w:hAnsi="Arial"/>
                <w:b/>
                <w:bCs/>
                <w:color w:val="FFFFFF"/>
                <w:sz w:val="17"/>
                <w:szCs w:val="17"/>
              </w:rPr>
              <w:t xml:space="preserve">With Voice Insights</w:t>
            </w:r>
          </w:p>
        </w:tc>
      </w:tr>
      <w:tr>
        <w:trPr>
          <w:cantSplit/>
        </w:trPr>
        <w:tc>
          <w:tcPr>
            <w:tcW w:type="dxa" w:w="2000"/>
            <w:tcBorders>
              <w:top w:val="single" w:color="D9D9DE" w:sz="4"/>
              <w:left w:val="single" w:color="D9D9DE" w:sz="4"/>
              <w:bottom w:val="single" w:color="D9D9DE" w:sz="4"/>
              <w:right w:val="single" w:color="D9D9DE" w:sz="4"/>
            </w:tcBorders>
            <w:tcMar>
              <w:top w:type="dxa" w:w="50"/>
              <w:left w:type="dxa" w:w="110"/>
              <w:bottom w:type="dxa" w:w="50"/>
              <w:right w:type="dxa" w:w="110"/>
            </w:tcMar>
            <w:vAlign w:val="center"/>
          </w:tcPr>
          <w:p>
            <w:pPr>
              <w:spacing w:after="10" w:line="252"/>
            </w:pPr>
            <w:r>
              <w:rPr>
                <w:rFonts w:ascii="Arial" w:cs="Arial" w:eastAsia="Arial" w:hAnsi="Arial"/>
                <w:b/>
                <w:bCs/>
                <w:color w:val="1D1D1F"/>
                <w:sz w:val="17"/>
                <w:szCs w:val="17"/>
              </w:rPr>
              <w:t xml:space="preserve">After the meeting</w:t>
            </w:r>
          </w:p>
        </w:tc>
        <w:tc>
          <w:tcPr>
            <w:tcW w:type="dxa" w:w="3819"/>
            <w:tcBorders>
              <w:top w:val="single" w:color="D9D9DE" w:sz="4"/>
              <w:left w:val="single" w:color="D9D9DE" w:sz="4"/>
              <w:bottom w:val="single" w:color="D9D9DE" w:sz="4"/>
              <w:right w:val="single" w:color="D9D9DE" w:sz="4"/>
            </w:tcBorders>
            <w:tcMar>
              <w:top w:type="dxa" w:w="50"/>
              <w:left w:type="dxa" w:w="110"/>
              <w:bottom w:type="dxa" w:w="50"/>
              <w:right w:type="dxa" w:w="110"/>
            </w:tcMar>
            <w:vAlign w:val="center"/>
          </w:tcPr>
          <w:p>
            <w:pPr>
              <w:spacing w:after="10" w:line="252"/>
            </w:pPr>
            <w:r>
              <w:rPr>
                <w:rFonts w:ascii="Arial" w:cs="Arial" w:eastAsia="Arial" w:hAnsi="Arial"/>
                <w:color w:val="1D1D1F"/>
                <w:sz w:val="17"/>
                <w:szCs w:val="17"/>
              </w:rPr>
              <w:t xml:space="preserve">Paper notes, or typing into i-PoS field by field, entirely from memory: notes, fact-find, record of advice, follow-up message, CRM entry</w:t>
            </w:r>
          </w:p>
        </w:tc>
        <w:tc>
          <w:tcPr>
            <w:tcW w:type="dxa" w:w="3819"/>
            <w:tcBorders>
              <w:top w:val="single" w:color="D9D9DE" w:sz="4"/>
              <w:left w:val="single" w:color="D9D9DE" w:sz="4"/>
              <w:bottom w:val="single" w:color="D9D9DE" w:sz="4"/>
              <w:right w:val="single" w:color="D9D9DE" w:sz="4"/>
            </w:tcBorders>
            <w:tcMar>
              <w:top w:type="dxa" w:w="50"/>
              <w:left w:type="dxa" w:w="110"/>
              <w:bottom w:type="dxa" w:w="50"/>
              <w:right w:type="dxa" w:w="110"/>
            </w:tcMar>
            <w:vAlign w:val="center"/>
          </w:tcPr>
          <w:p>
            <w:pPr>
              <w:spacing w:after="10" w:line="252"/>
            </w:pPr>
            <w:r>
              <w:rPr>
                <w:rFonts w:ascii="Arial" w:cs="Arial" w:eastAsia="Arial" w:hAnsi="Arial"/>
                <w:color w:val="1D1D1F"/>
                <w:sz w:val="17"/>
                <w:szCs w:val="17"/>
              </w:rPr>
              <w:t xml:space="preserve">Drafts of all five are ready to review; the agent checks and corrects instead of re-typing</w:t>
            </w:r>
          </w:p>
        </w:tc>
      </w:tr>
      <w:tr>
        <w:trPr>
          <w:cantSplit/>
        </w:trPr>
        <w:tc>
          <w:tcPr>
            <w:tcW w:type="dxa" w:w="2000"/>
            <w:tcBorders>
              <w:top w:val="single" w:color="D9D9DE" w:sz="4"/>
              <w:left w:val="single" w:color="D9D9DE" w:sz="4"/>
              <w:bottom w:val="single" w:color="D9D9DE" w:sz="4"/>
              <w:right w:val="single" w:color="D9D9DE" w:sz="4"/>
            </w:tcBorders>
            <w:shd w:fill="F5F5F7" w:color="auto" w:val="clear"/>
            <w:tcMar>
              <w:top w:type="dxa" w:w="50"/>
              <w:left w:type="dxa" w:w="110"/>
              <w:bottom w:type="dxa" w:w="50"/>
              <w:right w:type="dxa" w:w="110"/>
            </w:tcMar>
            <w:vAlign w:val="center"/>
          </w:tcPr>
          <w:p>
            <w:pPr>
              <w:spacing w:after="10" w:line="252"/>
            </w:pPr>
            <w:r>
              <w:rPr>
                <w:rFonts w:ascii="Arial" w:cs="Arial" w:eastAsia="Arial" w:hAnsi="Arial"/>
                <w:b/>
                <w:bCs/>
                <w:color w:val="1D1D1F"/>
                <w:sz w:val="17"/>
                <w:szCs w:val="17"/>
              </w:rPr>
              <w:t xml:space="preserve">What was said</w:t>
            </w:r>
          </w:p>
        </w:tc>
        <w:tc>
          <w:tcPr>
            <w:tcW w:type="dxa" w:w="3819"/>
            <w:tcBorders>
              <w:top w:val="single" w:color="D9D9DE" w:sz="4"/>
              <w:left w:val="single" w:color="D9D9DE" w:sz="4"/>
              <w:bottom w:val="single" w:color="D9D9DE" w:sz="4"/>
              <w:right w:val="single" w:color="D9D9DE" w:sz="4"/>
            </w:tcBorders>
            <w:shd w:fill="F5F5F7" w:color="auto" w:val="clear"/>
            <w:tcMar>
              <w:top w:type="dxa" w:w="50"/>
              <w:left w:type="dxa" w:w="110"/>
              <w:bottom w:type="dxa" w:w="50"/>
              <w:right w:type="dxa" w:w="110"/>
            </w:tcMar>
            <w:vAlign w:val="center"/>
          </w:tcPr>
          <w:p>
            <w:pPr>
              <w:spacing w:after="10" w:line="252"/>
            </w:pPr>
            <w:r>
              <w:rPr>
                <w:rFonts w:ascii="Arial" w:cs="Arial" w:eastAsia="Arial" w:hAnsi="Arial"/>
                <w:color w:val="1D1D1F"/>
                <w:sz w:val="17"/>
                <w:szCs w:val="17"/>
              </w:rPr>
              <w:t xml:space="preserve">Rebuilt from memory onto paper or i-PoS; a child’s age or a budget can be lost</w:t>
            </w:r>
          </w:p>
        </w:tc>
        <w:tc>
          <w:tcPr>
            <w:tcW w:type="dxa" w:w="3819"/>
            <w:tcBorders>
              <w:top w:val="single" w:color="D9D9DE" w:sz="4"/>
              <w:left w:val="single" w:color="D9D9DE" w:sz="4"/>
              <w:bottom w:val="single" w:color="D9D9DE" w:sz="4"/>
              <w:right w:val="single" w:color="D9D9DE" w:sz="4"/>
            </w:tcBorders>
            <w:shd w:fill="F5F5F7" w:color="auto" w:val="clear"/>
            <w:tcMar>
              <w:top w:type="dxa" w:w="50"/>
              <w:left w:type="dxa" w:w="110"/>
              <w:bottom w:type="dxa" w:w="50"/>
              <w:right w:type="dxa" w:w="110"/>
            </w:tcMar>
            <w:vAlign w:val="center"/>
          </w:tcPr>
          <w:p>
            <w:pPr>
              <w:spacing w:after="10" w:line="252"/>
            </w:pPr>
            <w:r>
              <w:rPr>
                <w:rFonts w:ascii="Arial" w:cs="Arial" w:eastAsia="Arial" w:hAnsi="Arial"/>
                <w:color w:val="1D1D1F"/>
                <w:sz w:val="17"/>
                <w:szCs w:val="17"/>
              </w:rPr>
              <w:t xml:space="preserve">Captured from the conversation, with the customer’s own words kept as evidence</w:t>
            </w:r>
          </w:p>
        </w:tc>
      </w:tr>
      <w:tr>
        <w:trPr>
          <w:cantSplit/>
        </w:trPr>
        <w:tc>
          <w:tcPr>
            <w:tcW w:type="dxa" w:w="2000"/>
            <w:tcBorders>
              <w:top w:val="single" w:color="D9D9DE" w:sz="4"/>
              <w:left w:val="single" w:color="D9D9DE" w:sz="4"/>
              <w:bottom w:val="single" w:color="D9D9DE" w:sz="4"/>
              <w:right w:val="single" w:color="D9D9DE" w:sz="4"/>
            </w:tcBorders>
            <w:tcMar>
              <w:top w:type="dxa" w:w="50"/>
              <w:left w:type="dxa" w:w="110"/>
              <w:bottom w:type="dxa" w:w="50"/>
              <w:right w:type="dxa" w:w="110"/>
            </w:tcMar>
            <w:vAlign w:val="center"/>
          </w:tcPr>
          <w:p>
            <w:pPr>
              <w:spacing w:after="10" w:line="252"/>
            </w:pPr>
            <w:r>
              <w:rPr>
                <w:rFonts w:ascii="Arial" w:cs="Arial" w:eastAsia="Arial" w:hAnsi="Arial"/>
                <w:b/>
                <w:bCs/>
                <w:color w:val="1D1D1F"/>
                <w:sz w:val="17"/>
                <w:szCs w:val="17"/>
              </w:rPr>
              <w:t xml:space="preserve">What was missed</w:t>
            </w:r>
          </w:p>
        </w:tc>
        <w:tc>
          <w:tcPr>
            <w:tcW w:type="dxa" w:w="3819"/>
            <w:tcBorders>
              <w:top w:val="single" w:color="D9D9DE" w:sz="4"/>
              <w:left w:val="single" w:color="D9D9DE" w:sz="4"/>
              <w:bottom w:val="single" w:color="D9D9DE" w:sz="4"/>
              <w:right w:val="single" w:color="D9D9DE" w:sz="4"/>
            </w:tcBorders>
            <w:tcMar>
              <w:top w:type="dxa" w:w="50"/>
              <w:left w:type="dxa" w:w="110"/>
              <w:bottom w:type="dxa" w:w="50"/>
              <w:right w:type="dxa" w:w="110"/>
            </w:tcMar>
            <w:vAlign w:val="center"/>
          </w:tcPr>
          <w:p>
            <w:pPr>
              <w:spacing w:after="10" w:line="252"/>
            </w:pPr>
            <w:r>
              <w:rPr>
                <w:rFonts w:ascii="Arial" w:cs="Arial" w:eastAsia="Arial" w:hAnsi="Arial"/>
                <w:color w:val="1D1D1F"/>
                <w:sz w:val="17"/>
                <w:szCs w:val="17"/>
              </w:rPr>
              <w:t xml:space="preserve">Found at the next meeting, or never, because forms record answers, not gaps</w:t>
            </w:r>
          </w:p>
        </w:tc>
        <w:tc>
          <w:tcPr>
            <w:tcW w:type="dxa" w:w="3819"/>
            <w:tcBorders>
              <w:top w:val="single" w:color="D9D9DE" w:sz="4"/>
              <w:left w:val="single" w:color="D9D9DE" w:sz="4"/>
              <w:bottom w:val="single" w:color="D9D9DE" w:sz="4"/>
              <w:right w:val="single" w:color="D9D9DE" w:sz="4"/>
            </w:tcBorders>
            <w:tcMar>
              <w:top w:type="dxa" w:w="50"/>
              <w:left w:type="dxa" w:w="110"/>
              <w:bottom w:type="dxa" w:w="50"/>
              <w:right w:type="dxa" w:w="110"/>
            </w:tcMar>
            <w:vAlign w:val="center"/>
          </w:tcPr>
          <w:p>
            <w:pPr>
              <w:spacing w:after="10" w:line="252"/>
            </w:pPr>
            <w:r>
              <w:rPr>
                <w:rFonts w:ascii="Arial" w:cs="Arial" w:eastAsia="Arial" w:hAnsi="Arial"/>
                <w:color w:val="1D1D1F"/>
                <w:sz w:val="17"/>
                <w:szCs w:val="17"/>
              </w:rPr>
              <w:t xml:space="preserve">Listed straight away as “still to ask”, so the next conversation starts with the right questions</w:t>
            </w:r>
          </w:p>
        </w:tc>
      </w:tr>
      <w:tr>
        <w:trPr>
          <w:cantSplit/>
        </w:trPr>
        <w:tc>
          <w:tcPr>
            <w:tcW w:type="dxa" w:w="2000"/>
            <w:tcBorders>
              <w:top w:val="single" w:color="D9D9DE" w:sz="4"/>
              <w:left w:val="single" w:color="D9D9DE" w:sz="4"/>
              <w:bottom w:val="single" w:color="D9D9DE" w:sz="4"/>
              <w:right w:val="single" w:color="D9D9DE" w:sz="4"/>
            </w:tcBorders>
            <w:shd w:fill="F5F5F7" w:color="auto" w:val="clear"/>
            <w:tcMar>
              <w:top w:type="dxa" w:w="50"/>
              <w:left w:type="dxa" w:w="110"/>
              <w:bottom w:type="dxa" w:w="50"/>
              <w:right w:type="dxa" w:w="110"/>
            </w:tcMar>
            <w:vAlign w:val="center"/>
          </w:tcPr>
          <w:p>
            <w:pPr>
              <w:spacing w:after="10" w:line="252"/>
            </w:pPr>
            <w:r>
              <w:rPr>
                <w:rFonts w:ascii="Arial" w:cs="Arial" w:eastAsia="Arial" w:hAnsi="Arial"/>
                <w:b/>
                <w:bCs/>
                <w:color w:val="1D1D1F"/>
                <w:sz w:val="17"/>
                <w:szCs w:val="17"/>
              </w:rPr>
              <w:t xml:space="preserve">Customer follow-up</w:t>
            </w:r>
          </w:p>
        </w:tc>
        <w:tc>
          <w:tcPr>
            <w:tcW w:type="dxa" w:w="3819"/>
            <w:tcBorders>
              <w:top w:val="single" w:color="D9D9DE" w:sz="4"/>
              <w:left w:val="single" w:color="D9D9DE" w:sz="4"/>
              <w:bottom w:val="single" w:color="D9D9DE" w:sz="4"/>
              <w:right w:val="single" w:color="D9D9DE" w:sz="4"/>
            </w:tcBorders>
            <w:shd w:fill="F5F5F7" w:color="auto" w:val="clear"/>
            <w:tcMar>
              <w:top w:type="dxa" w:w="50"/>
              <w:left w:type="dxa" w:w="110"/>
              <w:bottom w:type="dxa" w:w="50"/>
              <w:right w:type="dxa" w:w="110"/>
            </w:tcMar>
            <w:vAlign w:val="center"/>
          </w:tcPr>
          <w:p>
            <w:pPr>
              <w:spacing w:after="10" w:line="252"/>
            </w:pPr>
            <w:r>
              <w:rPr>
                <w:rFonts w:ascii="Arial" w:cs="Arial" w:eastAsia="Arial" w:hAnsi="Arial"/>
                <w:color w:val="1D1D1F"/>
                <w:sz w:val="17"/>
                <w:szCs w:val="17"/>
              </w:rPr>
              <w:t xml:space="preserve">Days later, in whatever time is left</w:t>
            </w:r>
          </w:p>
        </w:tc>
        <w:tc>
          <w:tcPr>
            <w:tcW w:type="dxa" w:w="3819"/>
            <w:tcBorders>
              <w:top w:val="single" w:color="D9D9DE" w:sz="4"/>
              <w:left w:val="single" w:color="D9D9DE" w:sz="4"/>
              <w:bottom w:val="single" w:color="D9D9DE" w:sz="4"/>
              <w:right w:val="single" w:color="D9D9DE" w:sz="4"/>
            </w:tcBorders>
            <w:shd w:fill="F5F5F7" w:color="auto" w:val="clear"/>
            <w:tcMar>
              <w:top w:type="dxa" w:w="50"/>
              <w:left w:type="dxa" w:w="110"/>
              <w:bottom w:type="dxa" w:w="50"/>
              <w:right w:type="dxa" w:w="110"/>
            </w:tcMar>
            <w:vAlign w:val="center"/>
          </w:tcPr>
          <w:p>
            <w:pPr>
              <w:spacing w:after="10" w:line="252"/>
            </w:pPr>
            <w:r>
              <w:rPr>
                <w:rFonts w:ascii="Arial" w:cs="Arial" w:eastAsia="Arial" w:hAnsi="Arial"/>
                <w:color w:val="1D1D1F"/>
                <w:sz w:val="17"/>
                <w:szCs w:val="17"/>
              </w:rPr>
              <w:t xml:space="preserve">The same day, in the customer’s preferred language</w:t>
            </w:r>
          </w:p>
        </w:tc>
      </w:tr>
      <w:tr>
        <w:trPr>
          <w:cantSplit/>
        </w:trPr>
        <w:tc>
          <w:tcPr>
            <w:tcW w:type="dxa" w:w="2000"/>
            <w:tcBorders>
              <w:top w:val="single" w:color="D9D9DE" w:sz="4"/>
              <w:left w:val="single" w:color="D9D9DE" w:sz="4"/>
              <w:bottom w:val="single" w:color="D9D9DE" w:sz="4"/>
              <w:right w:val="single" w:color="D9D9DE" w:sz="4"/>
            </w:tcBorders>
            <w:tcMar>
              <w:top w:type="dxa" w:w="50"/>
              <w:left w:type="dxa" w:w="110"/>
              <w:bottom w:type="dxa" w:w="50"/>
              <w:right w:type="dxa" w:w="110"/>
            </w:tcMar>
            <w:vAlign w:val="center"/>
          </w:tcPr>
          <w:p>
            <w:pPr>
              <w:spacing w:after="10" w:line="252"/>
            </w:pPr>
            <w:r>
              <w:rPr>
                <w:rFonts w:ascii="Arial" w:cs="Arial" w:eastAsia="Arial" w:hAnsi="Arial"/>
                <w:b/>
                <w:bCs/>
                <w:color w:val="1D1D1F"/>
                <w:sz w:val="17"/>
                <w:szCs w:val="17"/>
              </w:rPr>
              <w:t xml:space="preserve">Confidence in advice</w:t>
            </w:r>
          </w:p>
        </w:tc>
        <w:tc>
          <w:tcPr>
            <w:tcW w:type="dxa" w:w="3819"/>
            <w:tcBorders>
              <w:top w:val="single" w:color="D9D9DE" w:sz="4"/>
              <w:left w:val="single" w:color="D9D9DE" w:sz="4"/>
              <w:bottom w:val="single" w:color="D9D9DE" w:sz="4"/>
              <w:right w:val="single" w:color="D9D9DE" w:sz="4"/>
            </w:tcBorders>
            <w:tcMar>
              <w:top w:type="dxa" w:w="50"/>
              <w:left w:type="dxa" w:w="110"/>
              <w:bottom w:type="dxa" w:w="50"/>
              <w:right w:type="dxa" w:w="110"/>
            </w:tcMar>
            <w:vAlign w:val="center"/>
          </w:tcPr>
          <w:p>
            <w:pPr>
              <w:spacing w:after="10" w:line="252"/>
            </w:pPr>
            <w:r>
              <w:rPr>
                <w:rFonts w:ascii="Arial" w:cs="Arial" w:eastAsia="Arial" w:hAnsi="Arial"/>
                <w:color w:val="1D1D1F"/>
                <w:sz w:val="17"/>
                <w:szCs w:val="17"/>
              </w:rPr>
              <w:t xml:space="preserve">Rests on experience and recall</w:t>
            </w:r>
          </w:p>
        </w:tc>
        <w:tc>
          <w:tcPr>
            <w:tcW w:type="dxa" w:w="3819"/>
            <w:tcBorders>
              <w:top w:val="single" w:color="D9D9DE" w:sz="4"/>
              <w:left w:val="single" w:color="D9D9DE" w:sz="4"/>
              <w:bottom w:val="single" w:color="D9D9DE" w:sz="4"/>
              <w:right w:val="single" w:color="D9D9DE" w:sz="4"/>
            </w:tcBorders>
            <w:tcMar>
              <w:top w:type="dxa" w:w="50"/>
              <w:left w:type="dxa" w:w="110"/>
              <w:bottom w:type="dxa" w:w="50"/>
              <w:right w:type="dxa" w:w="110"/>
            </w:tcMar>
            <w:vAlign w:val="center"/>
          </w:tcPr>
          <w:p>
            <w:pPr>
              <w:spacing w:after="10" w:line="252"/>
            </w:pPr>
            <w:r>
              <w:rPr>
                <w:rFonts w:ascii="Arial" w:cs="Arial" w:eastAsia="Arial" w:hAnsi="Arial"/>
                <w:color w:val="1D1D1F"/>
                <w:sz w:val="17"/>
                <w:szCs w:val="17"/>
              </w:rPr>
              <w:t xml:space="preserve">Every suggestion shows its reasons, concerns and the product wording behind it</w:t>
            </w:r>
          </w:p>
        </w:tc>
      </w:tr>
    </w:tbl>
    <w:p>
      <w:pPr>
        <w:spacing w:after="60"/>
      </w:pPr>
    </w:p>
    <w:p>
      <w:pPr>
        <w:keepNext/>
        <w:pBdr>
          <w:left w:val="single" w:color="D31145" w:sz="24" w:space="8"/>
        </w:pBdr>
        <w:spacing w:after="80" w:before="160"/>
        <w:ind w:left="140"/>
      </w:pPr>
      <w:r>
        <w:rPr>
          <w:rFonts w:ascii="Arial" w:cs="Arial" w:eastAsia="Arial" w:hAnsi="Arial"/>
          <w:b/>
          <w:bCs/>
          <w:color w:val="1D1D1F"/>
          <w:sz w:val="24"/>
          <w:szCs w:val="24"/>
        </w:rPr>
        <w:t xml:space="preserve">Five gains, in the agent’s own terms</w:t>
      </w:r>
    </w:p>
    <w:p>
      <w:pPr>
        <w:pStyle w:val="ListParagraph"/>
        <w:numPr>
          <w:ilvl w:val="0"/>
          <w:numId w:val="3"/>
        </w:numPr>
        <w:spacing w:after="60" w:line="262"/>
      </w:pPr>
      <w:r>
        <w:rPr>
          <w:rFonts w:ascii="Arial" w:cs="Arial" w:eastAsia="Arial" w:hAnsi="Arial"/>
          <w:b/>
          <w:bCs/>
          <w:color w:val="1D1D1F"/>
          <w:sz w:val="19"/>
          <w:szCs w:val="19"/>
        </w:rPr>
        <w:t xml:space="preserve">More time to sell and to serve.</w:t>
      </w:r>
      <w:r>
        <w:rPr>
          <w:rFonts w:ascii="Arial" w:cs="Arial" w:eastAsia="Arial" w:hAnsi="Arial"/>
          <w:color w:val="1D1D1F"/>
          <w:sz w:val="19"/>
          <w:szCs w:val="19"/>
        </w:rPr>
        <w:t xml:space="preserve"> Re-typing from memory, onto paper or into i-PoS, shrinks from a long evening task to a short review. The time goes to more customer meetings, or to a better working week.</w:t>
      </w:r>
    </w:p>
    <w:p>
      <w:pPr>
        <w:pStyle w:val="ListParagraph"/>
        <w:numPr>
          <w:ilvl w:val="0"/>
          <w:numId w:val="3"/>
        </w:numPr>
        <w:spacing w:after="60" w:line="262"/>
      </w:pPr>
      <w:r>
        <w:rPr>
          <w:rFonts w:ascii="Arial" w:cs="Arial" w:eastAsia="Arial" w:hAnsi="Arial"/>
          <w:b/>
          <w:bCs/>
          <w:color w:val="1D1D1F"/>
          <w:sz w:val="19"/>
          <w:szCs w:val="19"/>
        </w:rPr>
        <w:t xml:space="preserve">Better conversations in the room.</w:t>
      </w:r>
      <w:r>
        <w:rPr>
          <w:rFonts w:ascii="Arial" w:cs="Arial" w:eastAsia="Arial" w:hAnsi="Arial"/>
          <w:color w:val="1D1D1F"/>
          <w:sz w:val="19"/>
          <w:szCs w:val="19"/>
        </w:rPr>
        <w:t xml:space="preserve"> A live view of the customer’s family, hopes and worries builds as they speak, and the next best question is suggested. Newer agents gain a senior colleague’s instinct.</w:t>
      </w:r>
    </w:p>
    <w:p>
      <w:pPr>
        <w:pStyle w:val="ListParagraph"/>
        <w:numPr>
          <w:ilvl w:val="0"/>
          <w:numId w:val="3"/>
        </w:numPr>
        <w:spacing w:after="60" w:line="262"/>
      </w:pPr>
      <w:r>
        <w:rPr>
          <w:rFonts w:ascii="Arial" w:cs="Arial" w:eastAsia="Arial" w:hAnsi="Arial"/>
          <w:b/>
          <w:bCs/>
          <w:color w:val="1D1D1F"/>
          <w:sz w:val="19"/>
          <w:szCs w:val="19"/>
        </w:rPr>
        <w:t xml:space="preserve">Fewer missed needs, fewer missed opportunities.</w:t>
      </w:r>
      <w:r>
        <w:rPr>
          <w:rFonts w:ascii="Arial" w:cs="Arial" w:eastAsia="Arial" w:hAnsi="Arial"/>
          <w:color w:val="1D1D1F"/>
          <w:sz w:val="19"/>
          <w:szCs w:val="19"/>
        </w:rPr>
        <w:t xml:space="preserve"> The same structured view is built for every customer, surfacing gaps an agent might not raise: a spouse with no cover, children’s education, a home loan.</w:t>
      </w:r>
    </w:p>
    <w:p>
      <w:pPr>
        <w:pStyle w:val="ListParagraph"/>
        <w:numPr>
          <w:ilvl w:val="0"/>
          <w:numId w:val="3"/>
        </w:numPr>
        <w:spacing w:after="60" w:line="262"/>
      </w:pPr>
      <w:r>
        <w:rPr>
          <w:rFonts w:ascii="Arial" w:cs="Arial" w:eastAsia="Arial" w:hAnsi="Arial"/>
          <w:b/>
          <w:bCs/>
          <w:color w:val="1D1D1F"/>
          <w:sz w:val="19"/>
          <w:szCs w:val="19"/>
        </w:rPr>
        <w:t xml:space="preserve">Safer, more confident advice.</w:t>
      </w:r>
      <w:r>
        <w:rPr>
          <w:rFonts w:ascii="Arial" w:cs="Arial" w:eastAsia="Arial" w:hAnsi="Arial"/>
          <w:color w:val="1D1D1F"/>
          <w:sz w:val="19"/>
          <w:szCs w:val="19"/>
        </w:rPr>
        <w:t xml:space="preserve"> A statement that could breach conduct rules, such as a promise of returns, is flagged as it is made, not weeks later in a file review. Agents protect their licence and reputation.</w:t>
      </w:r>
    </w:p>
    <w:p>
      <w:pPr>
        <w:pStyle w:val="ListParagraph"/>
        <w:numPr>
          <w:ilvl w:val="0"/>
          <w:numId w:val="3"/>
        </w:numPr>
        <w:spacing w:after="60" w:line="262"/>
      </w:pPr>
      <w:r>
        <w:rPr>
          <w:rFonts w:ascii="Arial" w:cs="Arial" w:eastAsia="Arial" w:hAnsi="Arial"/>
          <w:b/>
          <w:bCs/>
          <w:color w:val="1D1D1F"/>
          <w:sz w:val="19"/>
          <w:szCs w:val="19"/>
        </w:rPr>
        <w:t xml:space="preserve">Every customer in their own language.</w:t>
      </w:r>
      <w:r>
        <w:rPr>
          <w:rFonts w:ascii="Arial" w:cs="Arial" w:eastAsia="Arial" w:hAnsi="Arial"/>
          <w:color w:val="1D1D1F"/>
          <w:sz w:val="19"/>
          <w:szCs w:val="19"/>
        </w:rPr>
        <w:t xml:space="preserve"> Brief and follow up in the language the customer is comfortable with, without extra effort, in a market where family decisions are often made in Mandarin, Malay or Tamil.</w:t>
      </w:r>
    </w:p>
    <w:p>
      <w:pPr>
        <w:keepNext/>
        <w:pBdr>
          <w:left w:val="single" w:color="D31145" w:sz="24" w:space="8"/>
        </w:pBdr>
        <w:spacing w:after="80" w:before="160"/>
        <w:ind w:left="140"/>
      </w:pPr>
      <w:r>
        <w:rPr>
          <w:rFonts w:ascii="Arial" w:cs="Arial" w:eastAsia="Arial" w:hAnsi="Arial"/>
          <w:b/>
          <w:bCs/>
          <w:color w:val="1D1D1F"/>
          <w:sz w:val="24"/>
          <w:szCs w:val="24"/>
        </w:rPr>
        <w:t xml:space="preserve">A simpler way of working, not another system to feed</w:t>
      </w:r>
    </w:p>
    <w:p>
      <w:pPr>
        <w:spacing w:after="100" w:line="270"/>
      </w:pPr>
      <w:r>
        <w:rPr>
          <w:rFonts w:ascii="Arial" w:cs="Arial" w:eastAsia="Arial" w:hAnsi="Arial"/>
          <w:color w:val="1D1D1F"/>
          <w:sz w:val="20"/>
          <w:szCs w:val="20"/>
        </w:rPr>
        <w:t xml:space="preserve">Voice Insights is a next-generation tool built around how agents actually work. The agent talks; the system listens, structures and drafts. Voice replaces typing, a live customer picture replaces remembering, and prompts replace guessing what to ask next.</w:t>
      </w:r>
    </w:p>
    <w:p>
      <w:pPr>
        <w:keepNext/>
        <w:pBdr>
          <w:left w:val="single" w:color="D31145" w:sz="24" w:space="8"/>
        </w:pBdr>
        <w:spacing w:after="80" w:before="160"/>
        <w:ind w:left="140"/>
      </w:pPr>
      <w:r>
        <w:rPr>
          <w:rFonts w:ascii="Arial" w:cs="Arial" w:eastAsia="Arial" w:hAnsi="Arial"/>
          <w:b/>
          <w:bCs/>
          <w:color w:val="1D1D1F"/>
          <w:sz w:val="24"/>
          <w:szCs w:val="24"/>
        </w:rPr>
        <w:t xml:space="preserve">What it means for income and career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tblHeader/>
        </w:trPr>
        <w:tc>
          <w:tcPr>
            <w:tcW w:type="dxa" w:w="2000"/>
            <w:tcBorders>
              <w:top w:val="single" w:color="D9D9DE" w:sz="4"/>
              <w:left w:val="single" w:color="D9D9DE" w:sz="4"/>
              <w:bottom w:val="single" w:color="D9D9DE" w:sz="4"/>
              <w:right w:val="single" w:color="D9D9DE" w:sz="4"/>
            </w:tcBorders>
            <w:shd w:fill="D31145" w:color="auto" w:val="clear"/>
            <w:tcMar>
              <w:top w:type="dxa" w:w="50"/>
              <w:left w:type="dxa" w:w="110"/>
              <w:bottom w:type="dxa" w:w="50"/>
              <w:right w:type="dxa" w:w="110"/>
            </w:tcMar>
            <w:vAlign w:val="center"/>
          </w:tcPr>
          <w:p>
            <w:pPr>
              <w:spacing w:after="10" w:line="252"/>
            </w:pPr>
          </w:p>
        </w:tc>
        <w:tc>
          <w:tcPr>
            <w:tcW w:type="dxa" w:w="7638"/>
            <w:tcBorders>
              <w:top w:val="single" w:color="D9D9DE" w:sz="4"/>
              <w:left w:val="single" w:color="D9D9DE" w:sz="4"/>
              <w:bottom w:val="single" w:color="D9D9DE" w:sz="4"/>
              <w:right w:val="single" w:color="D9D9DE" w:sz="4"/>
            </w:tcBorders>
            <w:shd w:fill="D31145" w:color="auto" w:val="clear"/>
            <w:tcMar>
              <w:top w:type="dxa" w:w="50"/>
              <w:left w:type="dxa" w:w="110"/>
              <w:bottom w:type="dxa" w:w="50"/>
              <w:right w:type="dxa" w:w="110"/>
            </w:tcMar>
            <w:vAlign w:val="center"/>
          </w:tcPr>
          <w:p>
            <w:pPr>
              <w:spacing w:after="10" w:line="252"/>
            </w:pPr>
            <w:r>
              <w:rPr>
                <w:rFonts w:ascii="Arial" w:cs="Arial" w:eastAsia="Arial" w:hAnsi="Arial"/>
                <w:b/>
                <w:bCs/>
                <w:color w:val="FFFFFF"/>
                <w:sz w:val="17"/>
                <w:szCs w:val="17"/>
              </w:rPr>
              <w:t xml:space="preserve">Effect</w:t>
            </w:r>
          </w:p>
        </w:tc>
      </w:tr>
      <w:tr>
        <w:trPr>
          <w:cantSplit/>
        </w:trPr>
        <w:tc>
          <w:tcPr>
            <w:tcW w:type="dxa" w:w="2000"/>
            <w:tcBorders>
              <w:top w:val="single" w:color="D9D9DE" w:sz="4"/>
              <w:left w:val="single" w:color="D9D9DE" w:sz="4"/>
              <w:bottom w:val="single" w:color="D9D9DE" w:sz="4"/>
              <w:right w:val="single" w:color="D9D9DE" w:sz="4"/>
            </w:tcBorders>
            <w:tcMar>
              <w:top w:type="dxa" w:w="50"/>
              <w:left w:type="dxa" w:w="110"/>
              <w:bottom w:type="dxa" w:w="50"/>
              <w:right w:type="dxa" w:w="110"/>
            </w:tcMar>
            <w:vAlign w:val="center"/>
          </w:tcPr>
          <w:p>
            <w:pPr>
              <w:spacing w:after="10" w:line="252"/>
            </w:pPr>
            <w:r>
              <w:rPr>
                <w:rFonts w:ascii="Arial" w:cs="Arial" w:eastAsia="Arial" w:hAnsi="Arial"/>
                <w:b/>
                <w:bCs/>
                <w:color w:val="1D1D1F"/>
                <w:sz w:val="17"/>
                <w:szCs w:val="17"/>
              </w:rPr>
              <w:t xml:space="preserve">Productivity</w:t>
            </w:r>
          </w:p>
        </w:tc>
        <w:tc>
          <w:tcPr>
            <w:tcW w:type="dxa" w:w="7638"/>
            <w:tcBorders>
              <w:top w:val="single" w:color="D9D9DE" w:sz="4"/>
              <w:left w:val="single" w:color="D9D9DE" w:sz="4"/>
              <w:bottom w:val="single" w:color="D9D9DE" w:sz="4"/>
              <w:right w:val="single" w:color="D9D9DE" w:sz="4"/>
            </w:tcBorders>
            <w:tcMar>
              <w:top w:type="dxa" w:w="50"/>
              <w:left w:type="dxa" w:w="110"/>
              <w:bottom w:type="dxa" w:w="50"/>
              <w:right w:type="dxa" w:w="110"/>
            </w:tcMar>
            <w:vAlign w:val="center"/>
          </w:tcPr>
          <w:p>
            <w:pPr>
              <w:spacing w:after="10" w:line="252"/>
            </w:pPr>
            <w:r>
              <w:rPr>
                <w:rFonts w:ascii="Arial" w:cs="Arial" w:eastAsia="Arial" w:hAnsi="Arial"/>
                <w:color w:val="1D1D1F"/>
                <w:sz w:val="17"/>
                <w:szCs w:val="17"/>
              </w:rPr>
              <w:t xml:space="preserve">More customer-facing time each week from the same working hours</w:t>
            </w:r>
          </w:p>
        </w:tc>
      </w:tr>
      <w:tr>
        <w:trPr>
          <w:cantSplit/>
        </w:trPr>
        <w:tc>
          <w:tcPr>
            <w:tcW w:type="dxa" w:w="2000"/>
            <w:tcBorders>
              <w:top w:val="single" w:color="D9D9DE" w:sz="4"/>
              <w:left w:val="single" w:color="D9D9DE" w:sz="4"/>
              <w:bottom w:val="single" w:color="D9D9DE" w:sz="4"/>
              <w:right w:val="single" w:color="D9D9DE" w:sz="4"/>
            </w:tcBorders>
            <w:shd w:fill="F5F5F7" w:color="auto" w:val="clear"/>
            <w:tcMar>
              <w:top w:type="dxa" w:w="50"/>
              <w:left w:type="dxa" w:w="110"/>
              <w:bottom w:type="dxa" w:w="50"/>
              <w:right w:type="dxa" w:w="110"/>
            </w:tcMar>
            <w:vAlign w:val="center"/>
          </w:tcPr>
          <w:p>
            <w:pPr>
              <w:spacing w:after="10" w:line="252"/>
            </w:pPr>
            <w:r>
              <w:rPr>
                <w:rFonts w:ascii="Arial" w:cs="Arial" w:eastAsia="Arial" w:hAnsi="Arial"/>
                <w:b/>
                <w:bCs/>
                <w:color w:val="1D1D1F"/>
                <w:sz w:val="17"/>
                <w:szCs w:val="17"/>
              </w:rPr>
              <w:t xml:space="preserve">Quality</w:t>
            </w:r>
          </w:p>
        </w:tc>
        <w:tc>
          <w:tcPr>
            <w:tcW w:type="dxa" w:w="7638"/>
            <w:tcBorders>
              <w:top w:val="single" w:color="D9D9DE" w:sz="4"/>
              <w:left w:val="single" w:color="D9D9DE" w:sz="4"/>
              <w:bottom w:val="single" w:color="D9D9DE" w:sz="4"/>
              <w:right w:val="single" w:color="D9D9DE" w:sz="4"/>
            </w:tcBorders>
            <w:shd w:fill="F5F5F7" w:color="auto" w:val="clear"/>
            <w:tcMar>
              <w:top w:type="dxa" w:w="50"/>
              <w:left w:type="dxa" w:w="110"/>
              <w:bottom w:type="dxa" w:w="50"/>
              <w:right w:type="dxa" w:w="110"/>
            </w:tcMar>
            <w:vAlign w:val="center"/>
          </w:tcPr>
          <w:p>
            <w:pPr>
              <w:spacing w:after="10" w:line="252"/>
            </w:pPr>
            <w:r>
              <w:rPr>
                <w:rFonts w:ascii="Arial" w:cs="Arial" w:eastAsia="Arial" w:hAnsi="Arial"/>
                <w:color w:val="1D1D1F"/>
                <w:sz w:val="17"/>
                <w:szCs w:val="17"/>
              </w:rPr>
              <w:t xml:space="preserve">A fuller record of each customer, supporting stronger, longer relationships and better persistency</w:t>
            </w:r>
          </w:p>
        </w:tc>
      </w:tr>
      <w:tr>
        <w:trPr>
          <w:cantSplit/>
        </w:trPr>
        <w:tc>
          <w:tcPr>
            <w:tcW w:type="dxa" w:w="2000"/>
            <w:tcBorders>
              <w:top w:val="single" w:color="D9D9DE" w:sz="4"/>
              <w:left w:val="single" w:color="D9D9DE" w:sz="4"/>
              <w:bottom w:val="single" w:color="D9D9DE" w:sz="4"/>
              <w:right w:val="single" w:color="D9D9DE" w:sz="4"/>
            </w:tcBorders>
            <w:tcMar>
              <w:top w:type="dxa" w:w="50"/>
              <w:left w:type="dxa" w:w="110"/>
              <w:bottom w:type="dxa" w:w="50"/>
              <w:right w:type="dxa" w:w="110"/>
            </w:tcMar>
            <w:vAlign w:val="center"/>
          </w:tcPr>
          <w:p>
            <w:pPr>
              <w:spacing w:after="10" w:line="252"/>
            </w:pPr>
            <w:r>
              <w:rPr>
                <w:rFonts w:ascii="Arial" w:cs="Arial" w:eastAsia="Arial" w:hAnsi="Arial"/>
                <w:b/>
                <w:bCs/>
                <w:color w:val="1D1D1F"/>
                <w:sz w:val="17"/>
                <w:szCs w:val="17"/>
              </w:rPr>
              <w:t xml:space="preserve">Growth</w:t>
            </w:r>
          </w:p>
        </w:tc>
        <w:tc>
          <w:tcPr>
            <w:tcW w:type="dxa" w:w="7638"/>
            <w:tcBorders>
              <w:top w:val="single" w:color="D9D9DE" w:sz="4"/>
              <w:left w:val="single" w:color="D9D9DE" w:sz="4"/>
              <w:bottom w:val="single" w:color="D9D9DE" w:sz="4"/>
              <w:right w:val="single" w:color="D9D9DE" w:sz="4"/>
            </w:tcBorders>
            <w:tcMar>
              <w:top w:type="dxa" w:w="50"/>
              <w:left w:type="dxa" w:w="110"/>
              <w:bottom w:type="dxa" w:w="50"/>
              <w:right w:type="dxa" w:w="110"/>
            </w:tcMar>
            <w:vAlign w:val="center"/>
          </w:tcPr>
          <w:p>
            <w:pPr>
              <w:spacing w:after="10" w:line="252"/>
            </w:pPr>
            <w:r>
              <w:rPr>
                <w:rFonts w:ascii="Arial" w:cs="Arial" w:eastAsia="Arial" w:hAnsi="Arial"/>
                <w:color w:val="1D1D1F"/>
                <w:sz w:val="17"/>
                <w:szCs w:val="17"/>
              </w:rPr>
              <w:t xml:space="preserve">New agents reach competence faster, because structure and prompts are always at hand</w:t>
            </w:r>
          </w:p>
        </w:tc>
      </w:tr>
      <w:tr>
        <w:trPr>
          <w:cantSplit/>
        </w:trPr>
        <w:tc>
          <w:tcPr>
            <w:tcW w:type="dxa" w:w="2000"/>
            <w:tcBorders>
              <w:top w:val="single" w:color="D9D9DE" w:sz="4"/>
              <w:left w:val="single" w:color="D9D9DE" w:sz="4"/>
              <w:bottom w:val="single" w:color="D9D9DE" w:sz="4"/>
              <w:right w:val="single" w:color="D9D9DE" w:sz="4"/>
            </w:tcBorders>
            <w:shd w:fill="F5F5F7" w:color="auto" w:val="clear"/>
            <w:tcMar>
              <w:top w:type="dxa" w:w="50"/>
              <w:left w:type="dxa" w:w="110"/>
              <w:bottom w:type="dxa" w:w="50"/>
              <w:right w:type="dxa" w:w="110"/>
            </w:tcMar>
            <w:vAlign w:val="center"/>
          </w:tcPr>
          <w:p>
            <w:pPr>
              <w:spacing w:after="10" w:line="252"/>
            </w:pPr>
            <w:r>
              <w:rPr>
                <w:rFonts w:ascii="Arial" w:cs="Arial" w:eastAsia="Arial" w:hAnsi="Arial"/>
                <w:b/>
                <w:bCs/>
                <w:color w:val="1D1D1F"/>
                <w:sz w:val="17"/>
                <w:szCs w:val="17"/>
              </w:rPr>
              <w:t xml:space="preserve">Retention</w:t>
            </w:r>
          </w:p>
        </w:tc>
        <w:tc>
          <w:tcPr>
            <w:tcW w:type="dxa" w:w="7638"/>
            <w:tcBorders>
              <w:top w:val="single" w:color="D9D9DE" w:sz="4"/>
              <w:left w:val="single" w:color="D9D9DE" w:sz="4"/>
              <w:bottom w:val="single" w:color="D9D9DE" w:sz="4"/>
              <w:right w:val="single" w:color="D9D9DE" w:sz="4"/>
            </w:tcBorders>
            <w:shd w:fill="F5F5F7" w:color="auto" w:val="clear"/>
            <w:tcMar>
              <w:top w:type="dxa" w:w="50"/>
              <w:left w:type="dxa" w:w="110"/>
              <w:bottom w:type="dxa" w:w="50"/>
              <w:right w:type="dxa" w:w="110"/>
            </w:tcMar>
            <w:vAlign w:val="center"/>
          </w:tcPr>
          <w:p>
            <w:pPr>
              <w:spacing w:after="10" w:line="252"/>
            </w:pPr>
            <w:r>
              <w:rPr>
                <w:rFonts w:ascii="Arial" w:cs="Arial" w:eastAsia="Arial" w:hAnsi="Arial"/>
                <w:color w:val="1D1D1F"/>
                <w:sz w:val="17"/>
                <w:szCs w:val="17"/>
              </w:rPr>
              <w:t xml:space="preserve">A role less weighed down by paperwork is a better reason to stay</w:t>
            </w:r>
          </w:p>
        </w:tc>
      </w:tr>
    </w:tbl>
    <w:p>
      <w:pPr>
        <w:spacing w:after="60"/>
      </w:pP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31145" w:sz="24"/>
              <w:bottom w:val="none" w:color="FFFFFF" w:sz="0"/>
              <w:right w:val="none" w:color="FFFFFF" w:sz="0"/>
            </w:tcBorders>
            <w:shd w:fill="FCE8EE" w:color="auto" w:val="clear"/>
            <w:tcMar>
              <w:top w:type="dxa" w:w="90"/>
              <w:left w:type="dxa" w:w="240"/>
              <w:bottom w:type="dxa" w:w="90"/>
              <w:right w:type="dxa" w:w="240"/>
            </w:tcMar>
          </w:tcPr>
          <w:p>
            <w:pPr>
              <w:spacing w:after="60"/>
            </w:pPr>
            <w:r>
              <w:rPr>
                <w:rFonts w:ascii="Arial" w:cs="Arial" w:eastAsia="Arial" w:hAnsi="Arial"/>
                <w:i/>
                <w:iCs/>
                <w:color w:val="7A0A2B"/>
                <w:sz w:val="23"/>
                <w:szCs w:val="23"/>
              </w:rPr>
              <w:t xml:space="preserve">“An agent finishes a meeting and, within about half a minute, has a full suggestion with reasons and a follow-up draft to review.”</w:t>
            </w:r>
          </w:p>
          <w:p>
            <w:r>
              <w:rPr>
                <w:rFonts w:ascii="Arial" w:cs="Arial" w:eastAsia="Arial" w:hAnsi="Arial"/>
                <w:b/>
                <w:bCs/>
                <w:color w:val="D31145"/>
                <w:sz w:val="15"/>
                <w:szCs w:val="15"/>
              </w:rPr>
              <w:t xml:space="preserve">OBSERVED IN THE WORKING PROTOTYPE</w:t>
            </w:r>
          </w:p>
        </w:tc>
      </w:tr>
    </w:tbl>
    <w:p>
      <w:pPr>
        <w:spacing w:after="100"/>
      </w:pPr>
    </w:p>
    <w:p>
      <w:pPr>
        <w:spacing w:after="100" w:before="80" w:line="262"/>
      </w:pPr>
      <w:r>
        <w:rPr>
          <w:rFonts w:ascii="Arial" w:cs="Arial" w:eastAsia="Arial" w:hAnsi="Arial"/>
          <w:i/>
          <w:iCs/>
          <w:color w:val="6E6E73"/>
          <w:sz w:val="17"/>
          <w:szCs w:val="17"/>
        </w:rPr>
        <w:t xml:space="preserve">Suggested visual: one agent’s week before and after, with the same hours, the admin block shrunk and the customer-time block widened; beside it, one product screen showing the customer’s picture building during a conversation.</w:t>
      </w:r>
    </w:p>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D31145" w:color="auto" w:val="clear"/>
            <w:tcMar>
              <w:top w:type="dxa" w:w="140"/>
              <w:left w:type="dxa" w:w="300"/>
              <w:bottom w:type="dxa" w:w="140"/>
              <w:right w:type="dxa" w:w="300"/>
            </w:tcMar>
          </w:tcPr>
          <w:p>
            <w:pPr>
              <w:spacing w:after="40"/>
            </w:pPr>
            <w:r>
              <w:rPr>
                <w:rFonts w:ascii="Arial" w:cs="Arial" w:eastAsia="Arial" w:hAnsi="Arial"/>
                <w:b/>
                <w:bCs/>
                <w:color w:val="FFC9D6"/>
                <w:sz w:val="16"/>
                <w:szCs w:val="16"/>
              </w:rPr>
              <w:t xml:space="preserve">SLIDE 2</w:t>
            </w:r>
          </w:p>
          <w:p>
            <w:pPr>
              <w:spacing w:after="80"/>
            </w:pPr>
            <w:r>
              <w:rPr>
                <w:rFonts w:ascii="Arial" w:cs="Arial" w:eastAsia="Arial" w:hAnsi="Arial"/>
                <w:b/>
                <w:bCs/>
                <w:color w:val="FFFFFF"/>
                <w:sz w:val="34"/>
                <w:szCs w:val="34"/>
              </w:rPr>
              <w:t xml:space="preserve">What AIA Singapore gains</w:t>
            </w:r>
          </w:p>
          <w:p>
            <w:r>
              <w:rPr>
                <w:rFonts w:ascii="Arial" w:cs="Arial" w:eastAsia="Arial" w:hAnsi="Arial"/>
                <w:i/>
                <w:iCs/>
                <w:color w:val="FFFFFF"/>
                <w:sz w:val="21"/>
                <w:szCs w:val="21"/>
              </w:rPr>
              <w:t xml:space="preserve">“A consistent, visible, compliant advice process across every agent, at well under one dollar a conversation.”</w:t>
            </w:r>
          </w:p>
        </w:tc>
      </w:tr>
    </w:tbl>
    <w:p>
      <w:pPr>
        <w:spacing w:after="40"/>
      </w:pPr>
    </w:p>
    <w:p>
      <w:pPr>
        <w:keepNext/>
        <w:pBdr>
          <w:left w:val="single" w:color="D31145" w:sz="24" w:space="8"/>
        </w:pBdr>
        <w:spacing w:after="80" w:before="160"/>
        <w:ind w:left="140"/>
      </w:pPr>
      <w:r>
        <w:rPr>
          <w:rFonts w:ascii="Arial" w:cs="Arial" w:eastAsia="Arial" w:hAnsi="Arial"/>
          <w:b/>
          <w:bCs/>
          <w:color w:val="1D1D1F"/>
          <w:sz w:val="24"/>
          <w:szCs w:val="24"/>
        </w:rPr>
        <w:t xml:space="preserve">Six gains for the company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6938"/>
      </w:tblGrid>
      <w:tr>
        <w:trPr>
          <w:tblHeader/>
        </w:trPr>
        <w:tc>
          <w:tcPr>
            <w:tcW w:type="dxa" w:w="2700"/>
            <w:tcBorders>
              <w:top w:val="single" w:color="D9D9DE" w:sz="4"/>
              <w:left w:val="single" w:color="D9D9DE" w:sz="4"/>
              <w:bottom w:val="single" w:color="D9D9DE" w:sz="4"/>
              <w:right w:val="single" w:color="D9D9DE" w:sz="4"/>
            </w:tcBorders>
            <w:shd w:fill="D31145" w:color="auto" w:val="clear"/>
            <w:tcMar>
              <w:top w:type="dxa" w:w="50"/>
              <w:left w:type="dxa" w:w="110"/>
              <w:bottom w:type="dxa" w:w="50"/>
              <w:right w:type="dxa" w:w="110"/>
            </w:tcMar>
            <w:vAlign w:val="center"/>
          </w:tcPr>
          <w:p>
            <w:pPr>
              <w:spacing w:after="10" w:line="252"/>
            </w:pPr>
            <w:r>
              <w:rPr>
                <w:rFonts w:ascii="Arial" w:cs="Arial" w:eastAsia="Arial" w:hAnsi="Arial"/>
                <w:b/>
                <w:bCs/>
                <w:color w:val="FFFFFF"/>
                <w:sz w:val="17"/>
                <w:szCs w:val="17"/>
              </w:rPr>
              <w:t xml:space="preserve">Gain</w:t>
            </w:r>
          </w:p>
        </w:tc>
        <w:tc>
          <w:tcPr>
            <w:tcW w:type="dxa" w:w="6938"/>
            <w:tcBorders>
              <w:top w:val="single" w:color="D9D9DE" w:sz="4"/>
              <w:left w:val="single" w:color="D9D9DE" w:sz="4"/>
              <w:bottom w:val="single" w:color="D9D9DE" w:sz="4"/>
              <w:right w:val="single" w:color="D9D9DE" w:sz="4"/>
            </w:tcBorders>
            <w:shd w:fill="D31145" w:color="auto" w:val="clear"/>
            <w:tcMar>
              <w:top w:type="dxa" w:w="50"/>
              <w:left w:type="dxa" w:w="110"/>
              <w:bottom w:type="dxa" w:w="50"/>
              <w:right w:type="dxa" w:w="110"/>
            </w:tcMar>
            <w:vAlign w:val="center"/>
          </w:tcPr>
          <w:p>
            <w:pPr>
              <w:spacing w:after="10" w:line="252"/>
            </w:pPr>
            <w:r>
              <w:rPr>
                <w:rFonts w:ascii="Arial" w:cs="Arial" w:eastAsia="Arial" w:hAnsi="Arial"/>
                <w:b/>
                <w:bCs/>
                <w:color w:val="FFFFFF"/>
                <w:sz w:val="17"/>
                <w:szCs w:val="17"/>
              </w:rPr>
              <w:t xml:space="preserve">What changes for AIA</w:t>
            </w:r>
          </w:p>
        </w:tc>
      </w:tr>
      <w:tr>
        <w:trPr>
          <w:cantSplit/>
        </w:trPr>
        <w:tc>
          <w:tcPr>
            <w:tcW w:type="dxa" w:w="2700"/>
            <w:tcBorders>
              <w:top w:val="single" w:color="D9D9DE" w:sz="4"/>
              <w:left w:val="single" w:color="D9D9DE" w:sz="4"/>
              <w:bottom w:val="single" w:color="D9D9DE" w:sz="4"/>
              <w:right w:val="single" w:color="D9D9DE" w:sz="4"/>
            </w:tcBorders>
            <w:tcMar>
              <w:top w:type="dxa" w:w="50"/>
              <w:left w:type="dxa" w:w="110"/>
              <w:bottom w:type="dxa" w:w="50"/>
              <w:right w:type="dxa" w:w="110"/>
            </w:tcMar>
            <w:vAlign w:val="center"/>
          </w:tcPr>
          <w:p>
            <w:pPr>
              <w:spacing w:after="10" w:line="252"/>
            </w:pPr>
            <w:r>
              <w:rPr>
                <w:rFonts w:ascii="Arial" w:cs="Arial" w:eastAsia="Arial" w:hAnsi="Arial"/>
                <w:b/>
                <w:bCs/>
                <w:color w:val="1D1D1F"/>
                <w:sz w:val="17"/>
                <w:szCs w:val="17"/>
              </w:rPr>
              <w:t xml:space="preserve">1 · Agent productivity at scale</w:t>
            </w:r>
          </w:p>
        </w:tc>
        <w:tc>
          <w:tcPr>
            <w:tcW w:type="dxa" w:w="6938"/>
            <w:tcBorders>
              <w:top w:val="single" w:color="D9D9DE" w:sz="4"/>
              <w:left w:val="single" w:color="D9D9DE" w:sz="4"/>
              <w:bottom w:val="single" w:color="D9D9DE" w:sz="4"/>
              <w:right w:val="single" w:color="D9D9DE" w:sz="4"/>
            </w:tcBorders>
            <w:tcMar>
              <w:top w:type="dxa" w:w="50"/>
              <w:left w:type="dxa" w:w="110"/>
              <w:bottom w:type="dxa" w:w="50"/>
              <w:right w:type="dxa" w:w="110"/>
            </w:tcMar>
            <w:vAlign w:val="center"/>
          </w:tcPr>
          <w:p>
            <w:pPr>
              <w:spacing w:after="10" w:line="252"/>
            </w:pPr>
            <w:r>
              <w:rPr>
                <w:rFonts w:ascii="Arial" w:cs="Arial" w:eastAsia="Arial" w:hAnsi="Arial"/>
                <w:color w:val="1D1D1F"/>
                <w:sz w:val="17"/>
                <w:szCs w:val="17"/>
              </w:rPr>
              <w:t xml:space="preserve">Hours returned to customer work across the whole agency force, without adding headcount</w:t>
            </w:r>
          </w:p>
        </w:tc>
      </w:tr>
      <w:tr>
        <w:trPr>
          <w:cantSplit/>
        </w:trPr>
        <w:tc>
          <w:tcPr>
            <w:tcW w:type="dxa" w:w="2700"/>
            <w:tcBorders>
              <w:top w:val="single" w:color="D9D9DE" w:sz="4"/>
              <w:left w:val="single" w:color="D9D9DE" w:sz="4"/>
              <w:bottom w:val="single" w:color="D9D9DE" w:sz="4"/>
              <w:right w:val="single" w:color="D9D9DE" w:sz="4"/>
            </w:tcBorders>
            <w:shd w:fill="F5F5F7" w:color="auto" w:val="clear"/>
            <w:tcMar>
              <w:top w:type="dxa" w:w="50"/>
              <w:left w:type="dxa" w:w="110"/>
              <w:bottom w:type="dxa" w:w="50"/>
              <w:right w:type="dxa" w:w="110"/>
            </w:tcMar>
            <w:vAlign w:val="center"/>
          </w:tcPr>
          <w:p>
            <w:pPr>
              <w:spacing w:after="10" w:line="252"/>
            </w:pPr>
            <w:r>
              <w:rPr>
                <w:rFonts w:ascii="Arial" w:cs="Arial" w:eastAsia="Arial" w:hAnsi="Arial"/>
                <w:b/>
                <w:bCs/>
                <w:color w:val="1D1D1F"/>
                <w:sz w:val="17"/>
                <w:szCs w:val="17"/>
              </w:rPr>
              <w:t xml:space="preserve">2 · Quality and consistency</w:t>
            </w:r>
          </w:p>
        </w:tc>
        <w:tc>
          <w:tcPr>
            <w:tcW w:type="dxa" w:w="6938"/>
            <w:tcBorders>
              <w:top w:val="single" w:color="D9D9DE" w:sz="4"/>
              <w:left w:val="single" w:color="D9D9DE" w:sz="4"/>
              <w:bottom w:val="single" w:color="D9D9DE" w:sz="4"/>
              <w:right w:val="single" w:color="D9D9DE" w:sz="4"/>
            </w:tcBorders>
            <w:shd w:fill="F5F5F7" w:color="auto" w:val="clear"/>
            <w:tcMar>
              <w:top w:type="dxa" w:w="50"/>
              <w:left w:type="dxa" w:w="110"/>
              <w:bottom w:type="dxa" w:w="50"/>
              <w:right w:type="dxa" w:w="110"/>
            </w:tcMar>
            <w:vAlign w:val="center"/>
          </w:tcPr>
          <w:p>
            <w:pPr>
              <w:spacing w:after="10" w:line="252"/>
            </w:pPr>
            <w:r>
              <w:rPr>
                <w:rFonts w:ascii="Arial" w:cs="Arial" w:eastAsia="Arial" w:hAnsi="Arial"/>
                <w:color w:val="1D1D1F"/>
                <w:sz w:val="17"/>
                <w:szCs w:val="17"/>
              </w:rPr>
              <w:t xml:space="preserve">Every conversation is analysed to the same standard, so advice quality no longer depends on which agent a customer meets</w:t>
            </w:r>
          </w:p>
        </w:tc>
      </w:tr>
      <w:tr>
        <w:trPr>
          <w:cantSplit/>
        </w:trPr>
        <w:tc>
          <w:tcPr>
            <w:tcW w:type="dxa" w:w="2700"/>
            <w:tcBorders>
              <w:top w:val="single" w:color="D9D9DE" w:sz="4"/>
              <w:left w:val="single" w:color="D9D9DE" w:sz="4"/>
              <w:bottom w:val="single" w:color="D9D9DE" w:sz="4"/>
              <w:right w:val="single" w:color="D9D9DE" w:sz="4"/>
            </w:tcBorders>
            <w:tcMar>
              <w:top w:type="dxa" w:w="50"/>
              <w:left w:type="dxa" w:w="110"/>
              <w:bottom w:type="dxa" w:w="50"/>
              <w:right w:type="dxa" w:w="110"/>
            </w:tcMar>
            <w:vAlign w:val="center"/>
          </w:tcPr>
          <w:p>
            <w:pPr>
              <w:spacing w:after="10" w:line="252"/>
            </w:pPr>
            <w:r>
              <w:rPr>
                <w:rFonts w:ascii="Arial" w:cs="Arial" w:eastAsia="Arial" w:hAnsi="Arial"/>
                <w:b/>
                <w:bCs/>
                <w:color w:val="1D1D1F"/>
                <w:sz w:val="17"/>
                <w:szCs w:val="17"/>
              </w:rPr>
              <w:t xml:space="preserve">3 · Compliance caught early</w:t>
            </w:r>
          </w:p>
        </w:tc>
        <w:tc>
          <w:tcPr>
            <w:tcW w:type="dxa" w:w="6938"/>
            <w:tcBorders>
              <w:top w:val="single" w:color="D9D9DE" w:sz="4"/>
              <w:left w:val="single" w:color="D9D9DE" w:sz="4"/>
              <w:bottom w:val="single" w:color="D9D9DE" w:sz="4"/>
              <w:right w:val="single" w:color="D9D9DE" w:sz="4"/>
            </w:tcBorders>
            <w:tcMar>
              <w:top w:type="dxa" w:w="50"/>
              <w:left w:type="dxa" w:w="110"/>
              <w:bottom w:type="dxa" w:w="50"/>
              <w:right w:type="dxa" w:w="110"/>
            </w:tcMar>
            <w:vAlign w:val="center"/>
          </w:tcPr>
          <w:p>
            <w:pPr>
              <w:spacing w:after="10" w:line="252"/>
            </w:pPr>
            <w:r>
              <w:rPr>
                <w:rFonts w:ascii="Arial" w:cs="Arial" w:eastAsia="Arial" w:hAnsi="Arial"/>
                <w:color w:val="1D1D1F"/>
                <w:sz w:val="17"/>
                <w:szCs w:val="17"/>
              </w:rPr>
              <w:t xml:space="preserve">Risky statements and missing disclosures are visible during or straight after the conversation, not in a later file review; evidence for each suggestion is kept</w:t>
            </w:r>
          </w:p>
        </w:tc>
      </w:tr>
      <w:tr>
        <w:trPr>
          <w:cantSplit/>
        </w:trPr>
        <w:tc>
          <w:tcPr>
            <w:tcW w:type="dxa" w:w="2700"/>
            <w:tcBorders>
              <w:top w:val="single" w:color="D9D9DE" w:sz="4"/>
              <w:left w:val="single" w:color="D9D9DE" w:sz="4"/>
              <w:bottom w:val="single" w:color="D9D9DE" w:sz="4"/>
              <w:right w:val="single" w:color="D9D9DE" w:sz="4"/>
            </w:tcBorders>
            <w:shd w:fill="F5F5F7" w:color="auto" w:val="clear"/>
            <w:tcMar>
              <w:top w:type="dxa" w:w="50"/>
              <w:left w:type="dxa" w:w="110"/>
              <w:bottom w:type="dxa" w:w="50"/>
              <w:right w:type="dxa" w:w="110"/>
            </w:tcMar>
            <w:vAlign w:val="center"/>
          </w:tcPr>
          <w:p>
            <w:pPr>
              <w:spacing w:after="10" w:line="252"/>
            </w:pPr>
            <w:r>
              <w:rPr>
                <w:rFonts w:ascii="Arial" w:cs="Arial" w:eastAsia="Arial" w:hAnsi="Arial"/>
                <w:b/>
                <w:bCs/>
                <w:color w:val="1D1D1F"/>
                <w:sz w:val="17"/>
                <w:szCs w:val="17"/>
              </w:rPr>
              <w:t xml:space="preserve">4 · Revenue and conversion upside</w:t>
            </w:r>
          </w:p>
        </w:tc>
        <w:tc>
          <w:tcPr>
            <w:tcW w:type="dxa" w:w="6938"/>
            <w:tcBorders>
              <w:top w:val="single" w:color="D9D9DE" w:sz="4"/>
              <w:left w:val="single" w:color="D9D9DE" w:sz="4"/>
              <w:bottom w:val="single" w:color="D9D9DE" w:sz="4"/>
              <w:right w:val="single" w:color="D9D9DE" w:sz="4"/>
            </w:tcBorders>
            <w:shd w:fill="F5F5F7" w:color="auto" w:val="clear"/>
            <w:tcMar>
              <w:top w:type="dxa" w:w="50"/>
              <w:left w:type="dxa" w:w="110"/>
              <w:bottom w:type="dxa" w:w="50"/>
              <w:right w:type="dxa" w:w="110"/>
            </w:tcMar>
            <w:vAlign w:val="center"/>
          </w:tcPr>
          <w:p>
            <w:pPr>
              <w:spacing w:after="10" w:line="252"/>
            </w:pPr>
            <w:r>
              <w:rPr>
                <w:rFonts w:ascii="Arial" w:cs="Arial" w:eastAsia="Arial" w:hAnsi="Arial"/>
                <w:color w:val="1D1D1F"/>
                <w:sz w:val="17"/>
                <w:szCs w:val="17"/>
              </w:rPr>
              <w:t xml:space="preserve">Faster follow-up, fewer missed needs and better-prepared next meetings lift conversion and protection per customer</w:t>
            </w:r>
          </w:p>
        </w:tc>
      </w:tr>
      <w:tr>
        <w:trPr>
          <w:cantSplit/>
        </w:trPr>
        <w:tc>
          <w:tcPr>
            <w:tcW w:type="dxa" w:w="2700"/>
            <w:tcBorders>
              <w:top w:val="single" w:color="D9D9DE" w:sz="4"/>
              <w:left w:val="single" w:color="D9D9DE" w:sz="4"/>
              <w:bottom w:val="single" w:color="D9D9DE" w:sz="4"/>
              <w:right w:val="single" w:color="D9D9DE" w:sz="4"/>
            </w:tcBorders>
            <w:tcMar>
              <w:top w:type="dxa" w:w="50"/>
              <w:left w:type="dxa" w:w="110"/>
              <w:bottom w:type="dxa" w:w="50"/>
              <w:right w:type="dxa" w:w="110"/>
            </w:tcMar>
            <w:vAlign w:val="center"/>
          </w:tcPr>
          <w:p>
            <w:pPr>
              <w:spacing w:after="10" w:line="252"/>
            </w:pPr>
            <w:r>
              <w:rPr>
                <w:rFonts w:ascii="Arial" w:cs="Arial" w:eastAsia="Arial" w:hAnsi="Arial"/>
                <w:b/>
                <w:bCs/>
                <w:color w:val="1D1D1F"/>
                <w:sz w:val="17"/>
                <w:szCs w:val="17"/>
              </w:rPr>
              <w:t xml:space="preserve">5 · Leadership visibility</w:t>
            </w:r>
          </w:p>
        </w:tc>
        <w:tc>
          <w:tcPr>
            <w:tcW w:type="dxa" w:w="6938"/>
            <w:tcBorders>
              <w:top w:val="single" w:color="D9D9DE" w:sz="4"/>
              <w:left w:val="single" w:color="D9D9DE" w:sz="4"/>
              <w:bottom w:val="single" w:color="D9D9DE" w:sz="4"/>
              <w:right w:val="single" w:color="D9D9DE" w:sz="4"/>
            </w:tcBorders>
            <w:tcMar>
              <w:top w:type="dxa" w:w="50"/>
              <w:left w:type="dxa" w:w="110"/>
              <w:bottom w:type="dxa" w:w="50"/>
              <w:right w:type="dxa" w:w="110"/>
            </w:tcMar>
            <w:vAlign w:val="center"/>
          </w:tcPr>
          <w:p>
            <w:pPr>
              <w:spacing w:after="10" w:line="252"/>
            </w:pPr>
            <w:r>
              <w:rPr>
                <w:rFonts w:ascii="Arial" w:cs="Arial" w:eastAsia="Arial" w:hAnsi="Arial"/>
                <w:color w:val="1D1D1F"/>
                <w:sz w:val="17"/>
                <w:szCs w:val="17"/>
              </w:rPr>
              <w:t xml:space="preserve">A live view of how many conversations happen, which needs come up, how customers feel, and how long it takes to go from meeting to advice</w:t>
            </w:r>
          </w:p>
        </w:tc>
      </w:tr>
      <w:tr>
        <w:trPr>
          <w:cantSplit/>
        </w:trPr>
        <w:tc>
          <w:tcPr>
            <w:tcW w:type="dxa" w:w="2700"/>
            <w:tcBorders>
              <w:top w:val="single" w:color="D9D9DE" w:sz="4"/>
              <w:left w:val="single" w:color="D9D9DE" w:sz="4"/>
              <w:bottom w:val="single" w:color="D9D9DE" w:sz="4"/>
              <w:right w:val="single" w:color="D9D9DE" w:sz="4"/>
            </w:tcBorders>
            <w:shd w:fill="F5F5F7" w:color="auto" w:val="clear"/>
            <w:tcMar>
              <w:top w:type="dxa" w:w="50"/>
              <w:left w:type="dxa" w:w="110"/>
              <w:bottom w:type="dxa" w:w="50"/>
              <w:right w:type="dxa" w:w="110"/>
            </w:tcMar>
            <w:vAlign w:val="center"/>
          </w:tcPr>
          <w:p>
            <w:pPr>
              <w:spacing w:after="10" w:line="252"/>
            </w:pPr>
            <w:r>
              <w:rPr>
                <w:rFonts w:ascii="Arial" w:cs="Arial" w:eastAsia="Arial" w:hAnsi="Arial"/>
                <w:b/>
                <w:bCs/>
                <w:color w:val="1D1D1F"/>
                <w:sz w:val="17"/>
                <w:szCs w:val="17"/>
              </w:rPr>
              <w:t xml:space="preserve">6 · Brand and customer trust</w:t>
            </w:r>
          </w:p>
        </w:tc>
        <w:tc>
          <w:tcPr>
            <w:tcW w:type="dxa" w:w="6938"/>
            <w:tcBorders>
              <w:top w:val="single" w:color="D9D9DE" w:sz="4"/>
              <w:left w:val="single" w:color="D9D9DE" w:sz="4"/>
              <w:bottom w:val="single" w:color="D9D9DE" w:sz="4"/>
              <w:right w:val="single" w:color="D9D9DE" w:sz="4"/>
            </w:tcBorders>
            <w:shd w:fill="F5F5F7" w:color="auto" w:val="clear"/>
            <w:tcMar>
              <w:top w:type="dxa" w:w="50"/>
              <w:left w:type="dxa" w:w="110"/>
              <w:bottom w:type="dxa" w:w="50"/>
              <w:right w:type="dxa" w:w="110"/>
            </w:tcMar>
            <w:vAlign w:val="center"/>
          </w:tcPr>
          <w:p>
            <w:pPr>
              <w:spacing w:after="10" w:line="252"/>
            </w:pPr>
            <w:r>
              <w:rPr>
                <w:rFonts w:ascii="Arial" w:cs="Arial" w:eastAsia="Arial" w:hAnsi="Arial"/>
                <w:color w:val="1D1D1F"/>
                <w:sz w:val="17"/>
                <w:szCs w:val="17"/>
              </w:rPr>
              <w:t xml:space="preserve">A fuller, more accurate record and faster multilingual service strengthen AIA as the advisor customers choose</w:t>
            </w:r>
          </w:p>
        </w:tc>
      </w:tr>
    </w:tbl>
    <w:p>
      <w:pPr>
        <w:spacing w:after="60"/>
      </w:pPr>
    </w:p>
    <w:p>
      <w:pPr>
        <w:keepNext/>
        <w:pBdr>
          <w:left w:val="single" w:color="D31145" w:sz="24" w:space="8"/>
        </w:pBdr>
        <w:spacing w:after="80" w:before="160"/>
        <w:ind w:left="140"/>
      </w:pPr>
      <w:r>
        <w:rPr>
          <w:rFonts w:ascii="Arial" w:cs="Arial" w:eastAsia="Arial" w:hAnsi="Arial"/>
          <w:b/>
          <w:bCs/>
          <w:color w:val="1D1D1F"/>
          <w:sz w:val="24"/>
          <w:szCs w:val="24"/>
        </w:rPr>
        <w:t xml:space="preserve">The financial logic, kept simple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31145" w:sz="24"/>
              <w:bottom w:val="none" w:color="FFFFFF" w:sz="0"/>
              <w:right w:val="none" w:color="FFFFFF" w:sz="0"/>
            </w:tcBorders>
            <w:shd w:fill="FCE8EE" w:color="auto" w:val="clear"/>
            <w:tcMar>
              <w:top w:type="dxa" w:w="90"/>
              <w:left w:type="dxa" w:w="240"/>
              <w:bottom w:type="dxa" w:w="90"/>
              <w:right w:type="dxa" w:w="240"/>
            </w:tcMar>
          </w:tcPr>
          <w:p>
            <w:pPr>
              <w:spacing w:after="60"/>
            </w:pPr>
            <w:r>
              <w:rPr>
                <w:rFonts w:ascii="Arial" w:cs="Arial" w:eastAsia="Arial" w:hAnsi="Arial"/>
                <w:b/>
                <w:bCs/>
                <w:color w:val="7A0A2B"/>
                <w:sz w:val="22"/>
                <w:szCs w:val="22"/>
              </w:rPr>
              <w:t xml:space="preserve">Value = agents using it × cases per agent × admin time saved per case × value of an hour</w:t>
            </w:r>
          </w:p>
          <w:p>
            <w:r>
              <w:rPr>
                <w:rFonts w:ascii="Arial" w:cs="Arial" w:eastAsia="Arial" w:hAnsi="Arial"/>
                <w:color w:val="6E6E73"/>
                <w:sz w:val="19"/>
                <w:szCs w:val="19"/>
              </w:rPr>
              <w:t xml:space="preserve">Plus the uplift from better conversion and fewer compliance incidents.</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338"/>
        <w:gridCol w:w="4300"/>
      </w:tblGrid>
      <w:tr>
        <w:trPr>
          <w:tblHeader/>
        </w:trPr>
        <w:tc>
          <w:tcPr>
            <w:tcW w:type="dxa" w:w="5338"/>
            <w:tcBorders>
              <w:top w:val="single" w:color="D9D9DE" w:sz="4"/>
              <w:left w:val="single" w:color="D9D9DE" w:sz="4"/>
              <w:bottom w:val="single" w:color="D9D9DE" w:sz="4"/>
              <w:right w:val="single" w:color="D9D9DE" w:sz="4"/>
            </w:tcBorders>
            <w:shd w:fill="D31145" w:color="auto" w:val="clear"/>
            <w:tcMar>
              <w:top w:type="dxa" w:w="50"/>
              <w:left w:type="dxa" w:w="110"/>
              <w:bottom w:type="dxa" w:w="50"/>
              <w:right w:type="dxa" w:w="110"/>
            </w:tcMar>
            <w:vAlign w:val="center"/>
          </w:tcPr>
          <w:p>
            <w:pPr>
              <w:spacing w:after="10" w:line="252"/>
            </w:pPr>
            <w:r>
              <w:rPr>
                <w:rFonts w:ascii="Arial" w:cs="Arial" w:eastAsia="Arial" w:hAnsi="Arial"/>
                <w:b/>
                <w:bCs/>
                <w:color w:val="FFFFFF"/>
                <w:sz w:val="17"/>
                <w:szCs w:val="17"/>
              </w:rPr>
              <w:t xml:space="preserve">Illustration</w:t>
            </w:r>
          </w:p>
        </w:tc>
        <w:tc>
          <w:tcPr>
            <w:tcW w:type="dxa" w:w="4300"/>
            <w:tcBorders>
              <w:top w:val="single" w:color="D9D9DE" w:sz="4"/>
              <w:left w:val="single" w:color="D9D9DE" w:sz="4"/>
              <w:bottom w:val="single" w:color="D9D9DE" w:sz="4"/>
              <w:right w:val="single" w:color="D9D9DE" w:sz="4"/>
            </w:tcBorders>
            <w:shd w:fill="D31145" w:color="auto" w:val="clear"/>
            <w:tcMar>
              <w:top w:type="dxa" w:w="50"/>
              <w:left w:type="dxa" w:w="110"/>
              <w:bottom w:type="dxa" w:w="50"/>
              <w:right w:type="dxa" w:w="110"/>
            </w:tcMar>
            <w:vAlign w:val="center"/>
          </w:tcPr>
          <w:p>
            <w:pPr>
              <w:spacing w:after="10" w:line="252"/>
            </w:pPr>
            <w:r>
              <w:rPr>
                <w:rFonts w:ascii="Arial" w:cs="Arial" w:eastAsia="Arial" w:hAnsi="Arial"/>
                <w:b/>
                <w:bCs/>
                <w:color w:val="FFFFFF"/>
                <w:sz w:val="17"/>
                <w:szCs w:val="17"/>
              </w:rPr>
              <w:t xml:space="preserve">Example value</w:t>
            </w:r>
          </w:p>
        </w:tc>
      </w:tr>
      <w:tr>
        <w:trPr>
          <w:cantSplit/>
        </w:trPr>
        <w:tc>
          <w:tcPr>
            <w:tcW w:type="dxa" w:w="5338"/>
            <w:tcBorders>
              <w:top w:val="single" w:color="D9D9DE" w:sz="4"/>
              <w:left w:val="single" w:color="D9D9DE" w:sz="4"/>
              <w:bottom w:val="single" w:color="D9D9DE" w:sz="4"/>
              <w:right w:val="single" w:color="D9D9DE" w:sz="4"/>
            </w:tcBorders>
            <w:tcMar>
              <w:top w:type="dxa" w:w="50"/>
              <w:left w:type="dxa" w:w="110"/>
              <w:bottom w:type="dxa" w:w="50"/>
              <w:right w:type="dxa" w:w="110"/>
            </w:tcMar>
            <w:vAlign w:val="center"/>
          </w:tcPr>
          <w:p>
            <w:pPr>
              <w:spacing w:after="10" w:line="252"/>
            </w:pPr>
            <w:r>
              <w:rPr>
                <w:rFonts w:ascii="Arial" w:cs="Arial" w:eastAsia="Arial" w:hAnsi="Arial"/>
                <w:b/>
                <w:bCs/>
                <w:color w:val="1D1D1F"/>
                <w:sz w:val="17"/>
                <w:szCs w:val="17"/>
              </w:rPr>
              <w:t xml:space="preserve">Admin time saved per case</w:t>
            </w:r>
          </w:p>
        </w:tc>
        <w:tc>
          <w:tcPr>
            <w:tcW w:type="dxa" w:w="4300"/>
            <w:tcBorders>
              <w:top w:val="single" w:color="D9D9DE" w:sz="4"/>
              <w:left w:val="single" w:color="D9D9DE" w:sz="4"/>
              <w:bottom w:val="single" w:color="D9D9DE" w:sz="4"/>
              <w:right w:val="single" w:color="D9D9DE" w:sz="4"/>
            </w:tcBorders>
            <w:tcMar>
              <w:top w:type="dxa" w:w="50"/>
              <w:left w:type="dxa" w:w="110"/>
              <w:bottom w:type="dxa" w:w="50"/>
              <w:right w:type="dxa" w:w="110"/>
            </w:tcMar>
            <w:vAlign w:val="center"/>
          </w:tcPr>
          <w:p>
            <w:pPr>
              <w:spacing w:after="10" w:line="252"/>
            </w:pPr>
            <w:r>
              <w:rPr>
                <w:rFonts w:ascii="Arial" w:cs="Arial" w:eastAsia="Arial" w:hAnsi="Arial"/>
                <w:color w:val="1D1D1F"/>
                <w:sz w:val="17"/>
                <w:szCs w:val="17"/>
              </w:rPr>
              <w:t xml:space="preserve">45 minutes</w:t>
            </w:r>
          </w:p>
        </w:tc>
      </w:tr>
      <w:tr>
        <w:trPr>
          <w:cantSplit/>
        </w:trPr>
        <w:tc>
          <w:tcPr>
            <w:tcW w:type="dxa" w:w="5338"/>
            <w:tcBorders>
              <w:top w:val="single" w:color="D9D9DE" w:sz="4"/>
              <w:left w:val="single" w:color="D9D9DE" w:sz="4"/>
              <w:bottom w:val="single" w:color="D9D9DE" w:sz="4"/>
              <w:right w:val="single" w:color="D9D9DE" w:sz="4"/>
            </w:tcBorders>
            <w:shd w:fill="F5F5F7" w:color="auto" w:val="clear"/>
            <w:tcMar>
              <w:top w:type="dxa" w:w="50"/>
              <w:left w:type="dxa" w:w="110"/>
              <w:bottom w:type="dxa" w:w="50"/>
              <w:right w:type="dxa" w:w="110"/>
            </w:tcMar>
            <w:vAlign w:val="center"/>
          </w:tcPr>
          <w:p>
            <w:pPr>
              <w:spacing w:after="10" w:line="252"/>
            </w:pPr>
            <w:r>
              <w:rPr>
                <w:rFonts w:ascii="Arial" w:cs="Arial" w:eastAsia="Arial" w:hAnsi="Arial"/>
                <w:b/>
                <w:bCs/>
                <w:color w:val="1D1D1F"/>
                <w:sz w:val="17"/>
                <w:szCs w:val="17"/>
              </w:rPr>
              <w:t xml:space="preserve">Cases per agent per month</w:t>
            </w:r>
          </w:p>
        </w:tc>
        <w:tc>
          <w:tcPr>
            <w:tcW w:type="dxa" w:w="4300"/>
            <w:tcBorders>
              <w:top w:val="single" w:color="D9D9DE" w:sz="4"/>
              <w:left w:val="single" w:color="D9D9DE" w:sz="4"/>
              <w:bottom w:val="single" w:color="D9D9DE" w:sz="4"/>
              <w:right w:val="single" w:color="D9D9DE" w:sz="4"/>
            </w:tcBorders>
            <w:shd w:fill="F5F5F7" w:color="auto" w:val="clear"/>
            <w:tcMar>
              <w:top w:type="dxa" w:w="50"/>
              <w:left w:type="dxa" w:w="110"/>
              <w:bottom w:type="dxa" w:w="50"/>
              <w:right w:type="dxa" w:w="110"/>
            </w:tcMar>
            <w:vAlign w:val="center"/>
          </w:tcPr>
          <w:p>
            <w:pPr>
              <w:spacing w:after="10" w:line="252"/>
            </w:pPr>
            <w:r>
              <w:rPr>
                <w:rFonts w:ascii="Arial" w:cs="Arial" w:eastAsia="Arial" w:hAnsi="Arial"/>
                <w:color w:val="1D1D1F"/>
                <w:sz w:val="17"/>
                <w:szCs w:val="17"/>
              </w:rPr>
              <w:t xml:space="preserve">8</w:t>
            </w:r>
          </w:p>
        </w:tc>
      </w:tr>
      <w:tr>
        <w:trPr>
          <w:cantSplit/>
        </w:trPr>
        <w:tc>
          <w:tcPr>
            <w:tcW w:type="dxa" w:w="5338"/>
            <w:tcBorders>
              <w:top w:val="single" w:color="D9D9DE" w:sz="4"/>
              <w:left w:val="single" w:color="D9D9DE" w:sz="4"/>
              <w:bottom w:val="single" w:color="D9D9DE" w:sz="4"/>
              <w:right w:val="single" w:color="D9D9DE" w:sz="4"/>
            </w:tcBorders>
            <w:tcMar>
              <w:top w:type="dxa" w:w="50"/>
              <w:left w:type="dxa" w:w="110"/>
              <w:bottom w:type="dxa" w:w="50"/>
              <w:right w:type="dxa" w:w="110"/>
            </w:tcMar>
            <w:vAlign w:val="center"/>
          </w:tcPr>
          <w:p>
            <w:pPr>
              <w:spacing w:after="10" w:line="252"/>
            </w:pPr>
            <w:r>
              <w:rPr>
                <w:rFonts w:ascii="Arial" w:cs="Arial" w:eastAsia="Arial" w:hAnsi="Arial"/>
                <w:b/>
                <w:bCs/>
                <w:color w:val="1D1D1F"/>
                <w:sz w:val="17"/>
                <w:szCs w:val="17"/>
              </w:rPr>
              <w:t xml:space="preserve">Time returned per agent per month</w:t>
            </w:r>
          </w:p>
        </w:tc>
        <w:tc>
          <w:tcPr>
            <w:tcW w:type="dxa" w:w="4300"/>
            <w:tcBorders>
              <w:top w:val="single" w:color="D9D9DE" w:sz="4"/>
              <w:left w:val="single" w:color="D9D9DE" w:sz="4"/>
              <w:bottom w:val="single" w:color="D9D9DE" w:sz="4"/>
              <w:right w:val="single" w:color="D9D9DE" w:sz="4"/>
            </w:tcBorders>
            <w:tcMar>
              <w:top w:type="dxa" w:w="50"/>
              <w:left w:type="dxa" w:w="110"/>
              <w:bottom w:type="dxa" w:w="50"/>
              <w:right w:type="dxa" w:w="110"/>
            </w:tcMar>
            <w:vAlign w:val="center"/>
          </w:tcPr>
          <w:p>
            <w:pPr>
              <w:spacing w:after="10" w:line="252"/>
            </w:pPr>
            <w:r>
              <w:rPr>
                <w:rFonts w:ascii="Arial" w:cs="Arial" w:eastAsia="Arial" w:hAnsi="Arial"/>
                <w:b/>
                <w:bCs/>
                <w:color w:val="1D1D1F"/>
                <w:sz w:val="17"/>
                <w:szCs w:val="17"/>
              </w:rPr>
              <w:t xml:space="preserve">6 hours</w:t>
            </w:r>
          </w:p>
        </w:tc>
      </w:tr>
      <w:tr>
        <w:trPr>
          <w:cantSplit/>
        </w:trPr>
        <w:tc>
          <w:tcPr>
            <w:tcW w:type="dxa" w:w="5338"/>
            <w:tcBorders>
              <w:top w:val="single" w:color="D9D9DE" w:sz="4"/>
              <w:left w:val="single" w:color="D9D9DE" w:sz="4"/>
              <w:bottom w:val="single" w:color="D9D9DE" w:sz="4"/>
              <w:right w:val="single" w:color="D9D9DE" w:sz="4"/>
            </w:tcBorders>
            <w:shd w:fill="F5F5F7" w:color="auto" w:val="clear"/>
            <w:tcMar>
              <w:top w:type="dxa" w:w="50"/>
              <w:left w:type="dxa" w:w="110"/>
              <w:bottom w:type="dxa" w:w="50"/>
              <w:right w:type="dxa" w:w="110"/>
            </w:tcMar>
            <w:vAlign w:val="center"/>
          </w:tcPr>
          <w:p>
            <w:pPr>
              <w:spacing w:after="10" w:line="252"/>
            </w:pPr>
            <w:r>
              <w:rPr>
                <w:rFonts w:ascii="Arial" w:cs="Arial" w:eastAsia="Arial" w:hAnsi="Arial"/>
                <w:b/>
                <w:bCs/>
                <w:color w:val="1D1D1F"/>
                <w:sz w:val="17"/>
                <w:szCs w:val="17"/>
              </w:rPr>
              <w:t xml:space="preserve">Per 100 agents</w:t>
            </w:r>
          </w:p>
        </w:tc>
        <w:tc>
          <w:tcPr>
            <w:tcW w:type="dxa" w:w="4300"/>
            <w:tcBorders>
              <w:top w:val="single" w:color="D9D9DE" w:sz="4"/>
              <w:left w:val="single" w:color="D9D9DE" w:sz="4"/>
              <w:bottom w:val="single" w:color="D9D9DE" w:sz="4"/>
              <w:right w:val="single" w:color="D9D9DE" w:sz="4"/>
            </w:tcBorders>
            <w:shd w:fill="F5F5F7" w:color="auto" w:val="clear"/>
            <w:tcMar>
              <w:top w:type="dxa" w:w="50"/>
              <w:left w:type="dxa" w:w="110"/>
              <w:bottom w:type="dxa" w:w="50"/>
              <w:right w:type="dxa" w:w="110"/>
            </w:tcMar>
            <w:vAlign w:val="center"/>
          </w:tcPr>
          <w:p>
            <w:pPr>
              <w:spacing w:after="10" w:line="252"/>
            </w:pPr>
            <w:r>
              <w:rPr>
                <w:rFonts w:ascii="Arial" w:cs="Arial" w:eastAsia="Arial" w:hAnsi="Arial"/>
                <w:color w:val="1D1D1F"/>
                <w:sz w:val="17"/>
                <w:szCs w:val="17"/>
              </w:rPr>
              <w:t xml:space="preserve">600 hours a month, about 3.75 full-time equivalents</w:t>
            </w:r>
          </w:p>
        </w:tc>
      </w:tr>
    </w:tbl>
    <w:p>
      <w:pPr>
        <w:spacing w:after="60"/>
      </w:pPr>
    </w:p>
    <w:p>
      <w:pPr>
        <w:spacing w:after="100" w:before="80" w:line="262"/>
      </w:pPr>
      <w:r>
        <w:rPr>
          <w:rFonts w:ascii="Arial" w:cs="Arial" w:eastAsia="Arial" w:hAnsi="Arial"/>
          <w:i/>
          <w:iCs/>
          <w:color w:val="6E6E73"/>
          <w:sz w:val="17"/>
          <w:szCs w:val="17"/>
        </w:rPr>
        <w:t xml:space="preserve">Read this as an illustration, not a forecast. The 45 minutes and 8 cases are planning assumptions. The first step is to measure how long agents really spend today, so every figure shown to the Committee rests on AIA’s own numbers.</w:t>
      </w:r>
    </w:p>
    <w:p>
      <w:pPr>
        <w:pStyle w:val="ListParagraph"/>
        <w:numPr>
          <w:ilvl w:val="0"/>
          <w:numId w:val="4"/>
        </w:numPr>
        <w:spacing w:after="50" w:line="262"/>
      </w:pPr>
      <w:r>
        <w:rPr>
          <w:rFonts w:ascii="Arial" w:cs="Arial" w:eastAsia="Arial" w:hAnsi="Arial"/>
          <w:b/>
          <w:bCs/>
          <w:color w:val="1D1D1F"/>
          <w:sz w:val="19"/>
          <w:szCs w:val="19"/>
        </w:rPr>
        <w:t xml:space="preserve">Running cost:</w:t>
      </w:r>
      <w:r>
        <w:rPr>
          <w:rFonts w:ascii="Arial" w:cs="Arial" w:eastAsia="Arial" w:hAnsi="Arial"/>
          <w:color w:val="1D1D1F"/>
          <w:sz w:val="19"/>
          <w:szCs w:val="19"/>
        </w:rPr>
        <w:t xml:space="preserve"> estimated at about SGD 0.35–0.60 per conversation in AI usage, to be confirmed against AIA’s agreements, set against the value of the agent time returned.</w:t>
      </w:r>
    </w:p>
    <w:p>
      <w:pPr>
        <w:pStyle w:val="ListParagraph"/>
        <w:numPr>
          <w:ilvl w:val="0"/>
          <w:numId w:val="4"/>
        </w:numPr>
        <w:spacing w:after="50" w:line="262"/>
      </w:pPr>
      <w:r>
        <w:rPr>
          <w:rFonts w:ascii="Arial" w:cs="Arial" w:eastAsia="Arial" w:hAnsi="Arial"/>
          <w:b/>
          <w:bCs/>
          <w:color w:val="1D1D1F"/>
          <w:sz w:val="19"/>
          <w:szCs w:val="19"/>
        </w:rPr>
        <w:t xml:space="preserve">Value beyond time:</w:t>
      </w:r>
      <w:r>
        <w:rPr>
          <w:rFonts w:ascii="Arial" w:cs="Arial" w:eastAsia="Arial" w:hAnsi="Arial"/>
          <w:color w:val="1D1D1F"/>
          <w:sz w:val="19"/>
          <w:szCs w:val="19"/>
        </w:rPr>
        <w:t xml:space="preserve"> a single avoided conduct incident, or a small lift in conversion, may outweigh the time saving.</w:t>
      </w:r>
    </w:p>
    <w:p>
      <w:pPr>
        <w:keepNext/>
        <w:pBdr>
          <w:left w:val="single" w:color="D31145" w:sz="24" w:space="8"/>
        </w:pBdr>
        <w:spacing w:after="80" w:before="160"/>
        <w:ind w:left="140"/>
      </w:pPr>
      <w:r>
        <w:rPr>
          <w:rFonts w:ascii="Arial" w:cs="Arial" w:eastAsia="Arial" w:hAnsi="Arial"/>
          <w:b/>
          <w:bCs/>
          <w:color w:val="1D1D1F"/>
          <w:sz w:val="24"/>
          <w:szCs w:val="24"/>
        </w:rPr>
        <w:t xml:space="preserve">Strategic position</w:t>
      </w:r>
    </w:p>
    <w:p>
      <w:pPr>
        <w:pStyle w:val="ListParagraph"/>
        <w:numPr>
          <w:ilvl w:val="0"/>
          <w:numId w:val="4"/>
        </w:numPr>
        <w:spacing w:after="50" w:line="262"/>
      </w:pPr>
      <w:r>
        <w:rPr>
          <w:rFonts w:ascii="Arial" w:cs="Arial" w:eastAsia="Arial" w:hAnsi="Arial"/>
          <w:b/>
          <w:bCs/>
          <w:color w:val="1D1D1F"/>
          <w:sz w:val="19"/>
          <w:szCs w:val="19"/>
        </w:rPr>
        <w:t xml:space="preserve">Differentiation:</w:t>
      </w:r>
      <w:r>
        <w:rPr>
          <w:rFonts w:ascii="Arial" w:cs="Arial" w:eastAsia="Arial" w:hAnsi="Arial"/>
          <w:color w:val="1D1D1F"/>
          <w:sz w:val="19"/>
          <w:szCs w:val="19"/>
        </w:rPr>
        <w:t xml:space="preserve"> a faster, multilingual, better-documented agency force is hard for others to copy quickly.</w:t>
      </w:r>
    </w:p>
    <w:p>
      <w:pPr>
        <w:pStyle w:val="ListParagraph"/>
        <w:numPr>
          <w:ilvl w:val="0"/>
          <w:numId w:val="4"/>
        </w:numPr>
        <w:spacing w:after="50" w:line="262"/>
      </w:pPr>
      <w:r>
        <w:rPr>
          <w:rFonts w:ascii="Arial" w:cs="Arial" w:eastAsia="Arial" w:hAnsi="Arial"/>
          <w:b/>
          <w:bCs/>
          <w:color w:val="1D1D1F"/>
          <w:sz w:val="19"/>
          <w:szCs w:val="19"/>
        </w:rPr>
        <w:t xml:space="preserve">Next generation, not another form:</w:t>
      </w:r>
      <w:r>
        <w:rPr>
          <w:rFonts w:ascii="Arial" w:cs="Arial" w:eastAsia="Arial" w:hAnsi="Arial"/>
          <w:color w:val="1D1D1F"/>
          <w:sz w:val="19"/>
          <w:szCs w:val="19"/>
        </w:rPr>
        <w:t xml:space="preserve"> voice-first capture, live insight and drafted paperwork replace manual entry from memory, whether on paper or in i-PoS.</w:t>
      </w:r>
    </w:p>
    <w:p>
      <w:pPr>
        <w:pStyle w:val="ListParagraph"/>
        <w:numPr>
          <w:ilvl w:val="0"/>
          <w:numId w:val="4"/>
        </w:numPr>
        <w:spacing w:after="50" w:line="262"/>
      </w:pPr>
      <w:r>
        <w:rPr>
          <w:rFonts w:ascii="Arial" w:cs="Arial" w:eastAsia="Arial" w:hAnsi="Arial"/>
          <w:b/>
          <w:bCs/>
          <w:color w:val="1D1D1F"/>
          <w:sz w:val="19"/>
          <w:szCs w:val="19"/>
        </w:rPr>
        <w:t xml:space="preserve">A platform, not a point tool:</w:t>
      </w:r>
      <w:r>
        <w:rPr>
          <w:rFonts w:ascii="Arial" w:cs="Arial" w:eastAsia="Arial" w:hAnsi="Arial"/>
          <w:color w:val="1D1D1F"/>
          <w:sz w:val="19"/>
          <w:szCs w:val="19"/>
        </w:rPr>
        <w:t xml:space="preserve"> the same conversation intelligence can later support coaching, product feedback and new-agent onboarding.</w:t>
      </w:r>
    </w:p>
    <w:p>
      <w:pPr>
        <w:pStyle w:val="ListParagraph"/>
        <w:numPr>
          <w:ilvl w:val="0"/>
          <w:numId w:val="4"/>
        </w:numPr>
        <w:spacing w:after="50" w:line="262"/>
      </w:pPr>
      <w:r>
        <w:rPr>
          <w:rFonts w:ascii="Arial" w:cs="Arial" w:eastAsia="Arial" w:hAnsi="Arial"/>
          <w:b/>
          <w:bCs/>
          <w:color w:val="1D1D1F"/>
          <w:sz w:val="19"/>
          <w:szCs w:val="19"/>
        </w:rPr>
        <w:t xml:space="preserve">Insight from the market:</w:t>
      </w:r>
      <w:r>
        <w:rPr>
          <w:rFonts w:ascii="Arial" w:cs="Arial" w:eastAsia="Arial" w:hAnsi="Arial"/>
          <w:color w:val="1D1D1F"/>
          <w:sz w:val="19"/>
          <w:szCs w:val="19"/>
        </w:rPr>
        <w:t xml:space="preserve"> anonymised patterns in what customers ask and worry about show where product and campaign opportunities lie.</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31145" w:sz="24"/>
              <w:bottom w:val="none" w:color="FFFFFF" w:sz="0"/>
              <w:right w:val="none" w:color="FFFFFF" w:sz="0"/>
            </w:tcBorders>
            <w:shd w:fill="FCE8EE" w:color="auto" w:val="clear"/>
            <w:tcMar>
              <w:top w:type="dxa" w:w="90"/>
              <w:left w:type="dxa" w:w="240"/>
              <w:bottom w:type="dxa" w:w="90"/>
              <w:right w:type="dxa" w:w="240"/>
            </w:tcMar>
          </w:tcPr>
          <w:p>
            <w:pPr>
              <w:spacing w:after="60"/>
            </w:pPr>
            <w:r>
              <w:rPr>
                <w:rFonts w:ascii="Arial" w:cs="Arial" w:eastAsia="Arial" w:hAnsi="Arial"/>
                <w:i/>
                <w:iCs/>
                <w:color w:val="7A0A2B"/>
                <w:sz w:val="23"/>
                <w:szCs w:val="23"/>
              </w:rPr>
              <w:t xml:space="preserve">“Leadership sees the quality and risk of every conversation in one view, instead of one sampled file at a time.”</w:t>
            </w:r>
          </w:p>
          <w:p>
            <w:r>
              <w:rPr>
                <w:rFonts w:ascii="Arial" w:cs="Arial" w:eastAsia="Arial" w:hAnsi="Arial"/>
                <w:b/>
                <w:bCs/>
                <w:color w:val="D31145"/>
                <w:sz w:val="15"/>
                <w:szCs w:val="15"/>
              </w:rPr>
              <w:t xml:space="preserve">THE CHANGE FOR LEADERSHIP</w:t>
            </w:r>
          </w:p>
        </w:tc>
      </w:tr>
    </w:tbl>
    <w:p>
      <w:pPr>
        <w:spacing w:after="100"/>
      </w:pPr>
    </w:p>
    <w:p>
      <w:r>
        <w:br w:type="page"/>
      </w:r>
    </w:p>
    <w:p>
      <w:pPr>
        <w:keepNext/>
        <w:spacing w:after="160" w:before="120"/>
      </w:pPr>
      <w:r>
        <w:rPr>
          <w:rFonts w:ascii="Arial" w:cs="Arial" w:eastAsia="Arial" w:hAnsi="Arial"/>
          <w:b/>
          <w:bCs/>
          <w:color w:val="7A0A2B"/>
          <w:sz w:val="32"/>
          <w:szCs w:val="32"/>
        </w:rPr>
        <w:t xml:space="preserve">FAQ</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D9D9DE" w:sz="4"/>
              <w:left w:val="single" w:color="D9D9DE" w:sz="4"/>
              <w:bottom w:val="single" w:color="D9D9DE" w:sz="4"/>
              <w:right w:val="single" w:color="D9D9DE" w:sz="4"/>
            </w:tcBorders>
            <w:shd w:fill="D31145" w:color="auto" w:val="clear"/>
            <w:tcMar>
              <w:top w:type="dxa" w:w="50"/>
              <w:left w:type="dxa" w:w="110"/>
              <w:bottom w:type="dxa" w:w="50"/>
              <w:right w:type="dxa" w:w="110"/>
            </w:tcMar>
            <w:vAlign w:val="center"/>
          </w:tcPr>
          <w:p>
            <w:pPr>
              <w:spacing w:after="10" w:line="252"/>
            </w:pPr>
            <w:r>
              <w:rPr>
                <w:rFonts w:ascii="Arial" w:cs="Arial" w:eastAsia="Arial" w:hAnsi="Arial"/>
                <w:b/>
                <w:bCs/>
                <w:color w:val="FFFFFF"/>
                <w:sz w:val="17"/>
                <w:szCs w:val="17"/>
              </w:rPr>
              <w:t xml:space="preserve">Question</w:t>
            </w:r>
          </w:p>
        </w:tc>
        <w:tc>
          <w:tcPr>
            <w:tcW w:type="dxa" w:w="6638"/>
            <w:tcBorders>
              <w:top w:val="single" w:color="D9D9DE" w:sz="4"/>
              <w:left w:val="single" w:color="D9D9DE" w:sz="4"/>
              <w:bottom w:val="single" w:color="D9D9DE" w:sz="4"/>
              <w:right w:val="single" w:color="D9D9DE" w:sz="4"/>
            </w:tcBorders>
            <w:shd w:fill="D31145" w:color="auto" w:val="clear"/>
            <w:tcMar>
              <w:top w:type="dxa" w:w="50"/>
              <w:left w:type="dxa" w:w="110"/>
              <w:bottom w:type="dxa" w:w="50"/>
              <w:right w:type="dxa" w:w="110"/>
            </w:tcMar>
            <w:vAlign w:val="center"/>
          </w:tcPr>
          <w:p>
            <w:pPr>
              <w:spacing w:after="10" w:line="252"/>
            </w:pPr>
            <w:r>
              <w:rPr>
                <w:rFonts w:ascii="Arial" w:cs="Arial" w:eastAsia="Arial" w:hAnsi="Arial"/>
                <w:b/>
                <w:bCs/>
                <w:color w:val="FFFFFF"/>
                <w:sz w:val="17"/>
                <w:szCs w:val="17"/>
              </w:rPr>
              <w:t xml:space="preserve">Short answer</w:t>
            </w:r>
          </w:p>
        </w:tc>
      </w:tr>
      <w:tr>
        <w:trPr>
          <w:cantSplit/>
        </w:trPr>
        <w:tc>
          <w:tcPr>
            <w:tcW w:type="dxa" w:w="3000"/>
            <w:tcBorders>
              <w:top w:val="single" w:color="D9D9DE" w:sz="4"/>
              <w:left w:val="single" w:color="D9D9DE" w:sz="4"/>
              <w:bottom w:val="single" w:color="D9D9DE" w:sz="4"/>
              <w:right w:val="single" w:color="D9D9DE" w:sz="4"/>
            </w:tcBorders>
            <w:tcMar>
              <w:top w:type="dxa" w:w="50"/>
              <w:left w:type="dxa" w:w="110"/>
              <w:bottom w:type="dxa" w:w="50"/>
              <w:right w:type="dxa" w:w="110"/>
            </w:tcMar>
            <w:vAlign w:val="center"/>
          </w:tcPr>
          <w:p>
            <w:pPr>
              <w:spacing w:after="10" w:line="252"/>
            </w:pPr>
            <w:r>
              <w:rPr>
                <w:rFonts w:ascii="Arial" w:cs="Arial" w:eastAsia="Arial" w:hAnsi="Arial"/>
                <w:b/>
                <w:bCs/>
                <w:color w:val="1D1D1F"/>
                <w:sz w:val="17"/>
                <w:szCs w:val="17"/>
              </w:rPr>
              <w:t xml:space="preserve">Will agents actually use it?</w:t>
            </w:r>
          </w:p>
        </w:tc>
        <w:tc>
          <w:tcPr>
            <w:tcW w:type="dxa" w:w="6638"/>
            <w:tcBorders>
              <w:top w:val="single" w:color="D9D9DE" w:sz="4"/>
              <w:left w:val="single" w:color="D9D9DE" w:sz="4"/>
              <w:bottom w:val="single" w:color="D9D9DE" w:sz="4"/>
              <w:right w:val="single" w:color="D9D9DE" w:sz="4"/>
            </w:tcBorders>
            <w:tcMar>
              <w:top w:type="dxa" w:w="50"/>
              <w:left w:type="dxa" w:w="110"/>
              <w:bottom w:type="dxa" w:w="50"/>
              <w:right w:type="dxa" w:w="110"/>
            </w:tcMar>
            <w:vAlign w:val="center"/>
          </w:tcPr>
          <w:p>
            <w:pPr>
              <w:spacing w:after="10" w:line="252"/>
            </w:pPr>
            <w:r>
              <w:rPr>
                <w:rFonts w:ascii="Arial" w:cs="Arial" w:eastAsia="Arial" w:hAnsi="Arial"/>
                <w:color w:val="1D1D1F"/>
                <w:sz w:val="17"/>
                <w:szCs w:val="17"/>
              </w:rPr>
              <w:t xml:space="preserve">The value to them is immediate: less typing and better customer conversations. Adoption is the first thing to measure.</w:t>
            </w:r>
          </w:p>
        </w:tc>
      </w:tr>
      <w:tr>
        <w:trPr>
          <w:cantSplit/>
        </w:trPr>
        <w:tc>
          <w:tcPr>
            <w:tcW w:type="dxa" w:w="3000"/>
            <w:tcBorders>
              <w:top w:val="single" w:color="D9D9DE" w:sz="4"/>
              <w:left w:val="single" w:color="D9D9DE" w:sz="4"/>
              <w:bottom w:val="single" w:color="D9D9DE" w:sz="4"/>
              <w:right w:val="single" w:color="D9D9DE" w:sz="4"/>
            </w:tcBorders>
            <w:shd w:fill="F5F5F7" w:color="auto" w:val="clear"/>
            <w:tcMar>
              <w:top w:type="dxa" w:w="50"/>
              <w:left w:type="dxa" w:w="110"/>
              <w:bottom w:type="dxa" w:w="50"/>
              <w:right w:type="dxa" w:w="110"/>
            </w:tcMar>
            <w:vAlign w:val="center"/>
          </w:tcPr>
          <w:p>
            <w:pPr>
              <w:spacing w:after="10" w:line="252"/>
            </w:pPr>
            <w:r>
              <w:rPr>
                <w:rFonts w:ascii="Arial" w:cs="Arial" w:eastAsia="Arial" w:hAnsi="Arial"/>
                <w:b/>
                <w:bCs/>
                <w:color w:val="1D1D1F"/>
                <w:sz w:val="17"/>
                <w:szCs w:val="17"/>
              </w:rPr>
              <w:t xml:space="preserve">How is this different from i-PoS or paper?</w:t>
            </w:r>
          </w:p>
        </w:tc>
        <w:tc>
          <w:tcPr>
            <w:tcW w:type="dxa" w:w="6638"/>
            <w:tcBorders>
              <w:top w:val="single" w:color="D9D9DE" w:sz="4"/>
              <w:left w:val="single" w:color="D9D9DE" w:sz="4"/>
              <w:bottom w:val="single" w:color="D9D9DE" w:sz="4"/>
              <w:right w:val="single" w:color="D9D9DE" w:sz="4"/>
            </w:tcBorders>
            <w:shd w:fill="F5F5F7" w:color="auto" w:val="clear"/>
            <w:tcMar>
              <w:top w:type="dxa" w:w="50"/>
              <w:left w:type="dxa" w:w="110"/>
              <w:bottom w:type="dxa" w:w="50"/>
              <w:right w:type="dxa" w:w="110"/>
            </w:tcMar>
            <w:vAlign w:val="center"/>
          </w:tcPr>
          <w:p>
            <w:pPr>
              <w:spacing w:after="10" w:line="252"/>
            </w:pPr>
            <w:r>
              <w:rPr>
                <w:rFonts w:ascii="Arial" w:cs="Arial" w:eastAsia="Arial" w:hAnsi="Arial"/>
                <w:color w:val="1D1D1F"/>
                <w:sz w:val="17"/>
                <w:szCs w:val="17"/>
              </w:rPr>
              <w:t xml:space="preserve">Those record what the agent types from memory after the meeting. Voice Insights captures the conversation itself and drafts the records, so the agent reviews instead of re-typing.</w:t>
            </w:r>
          </w:p>
        </w:tc>
      </w:tr>
      <w:tr>
        <w:trPr>
          <w:cantSplit/>
        </w:trPr>
        <w:tc>
          <w:tcPr>
            <w:tcW w:type="dxa" w:w="3000"/>
            <w:tcBorders>
              <w:top w:val="single" w:color="D9D9DE" w:sz="4"/>
              <w:left w:val="single" w:color="D9D9DE" w:sz="4"/>
              <w:bottom w:val="single" w:color="D9D9DE" w:sz="4"/>
              <w:right w:val="single" w:color="D9D9DE" w:sz="4"/>
            </w:tcBorders>
            <w:tcMar>
              <w:top w:type="dxa" w:w="50"/>
              <w:left w:type="dxa" w:w="110"/>
              <w:bottom w:type="dxa" w:w="50"/>
              <w:right w:type="dxa" w:w="110"/>
            </w:tcMar>
            <w:vAlign w:val="center"/>
          </w:tcPr>
          <w:p>
            <w:pPr>
              <w:spacing w:after="10" w:line="252"/>
            </w:pPr>
            <w:r>
              <w:rPr>
                <w:rFonts w:ascii="Arial" w:cs="Arial" w:eastAsia="Arial" w:hAnsi="Arial"/>
                <w:b/>
                <w:bCs/>
                <w:color w:val="1D1D1F"/>
                <w:sz w:val="17"/>
                <w:szCs w:val="17"/>
              </w:rPr>
              <w:t xml:space="preserve">Is the saving real, or assumed?</w:t>
            </w:r>
          </w:p>
        </w:tc>
        <w:tc>
          <w:tcPr>
            <w:tcW w:type="dxa" w:w="6638"/>
            <w:tcBorders>
              <w:top w:val="single" w:color="D9D9DE" w:sz="4"/>
              <w:left w:val="single" w:color="D9D9DE" w:sz="4"/>
              <w:bottom w:val="single" w:color="D9D9DE" w:sz="4"/>
              <w:right w:val="single" w:color="D9D9DE" w:sz="4"/>
            </w:tcBorders>
            <w:tcMar>
              <w:top w:type="dxa" w:w="50"/>
              <w:left w:type="dxa" w:w="110"/>
              <w:bottom w:type="dxa" w:w="50"/>
              <w:right w:type="dxa" w:w="110"/>
            </w:tcMar>
            <w:vAlign w:val="center"/>
          </w:tcPr>
          <w:p>
            <w:pPr>
              <w:spacing w:after="10" w:line="252"/>
            </w:pPr>
            <w:r>
              <w:rPr>
                <w:rFonts w:ascii="Arial" w:cs="Arial" w:eastAsia="Arial" w:hAnsi="Arial"/>
                <w:color w:val="1D1D1F"/>
                <w:sz w:val="17"/>
                <w:szCs w:val="17"/>
              </w:rPr>
              <w:t xml:space="preserve">Assumed in the illustration above. It is to be measured with a sample of agents before any commitment is made.</w:t>
            </w:r>
          </w:p>
        </w:tc>
      </w:tr>
      <w:tr>
        <w:trPr>
          <w:cantSplit/>
        </w:trPr>
        <w:tc>
          <w:tcPr>
            <w:tcW w:type="dxa" w:w="3000"/>
            <w:tcBorders>
              <w:top w:val="single" w:color="D9D9DE" w:sz="4"/>
              <w:left w:val="single" w:color="D9D9DE" w:sz="4"/>
              <w:bottom w:val="single" w:color="D9D9DE" w:sz="4"/>
              <w:right w:val="single" w:color="D9D9DE" w:sz="4"/>
            </w:tcBorders>
            <w:shd w:fill="F5F5F7" w:color="auto" w:val="clear"/>
            <w:tcMar>
              <w:top w:type="dxa" w:w="50"/>
              <w:left w:type="dxa" w:w="110"/>
              <w:bottom w:type="dxa" w:w="50"/>
              <w:right w:type="dxa" w:w="110"/>
            </w:tcMar>
            <w:vAlign w:val="center"/>
          </w:tcPr>
          <w:p>
            <w:pPr>
              <w:spacing w:after="10" w:line="252"/>
            </w:pPr>
            <w:r>
              <w:rPr>
                <w:rFonts w:ascii="Arial" w:cs="Arial" w:eastAsia="Arial" w:hAnsi="Arial"/>
                <w:b/>
                <w:bCs/>
                <w:color w:val="1D1D1F"/>
                <w:sz w:val="17"/>
                <w:szCs w:val="17"/>
              </w:rPr>
              <w:t xml:space="preserve">What does it do for compliance, honestly?</w:t>
            </w:r>
          </w:p>
        </w:tc>
        <w:tc>
          <w:tcPr>
            <w:tcW w:type="dxa" w:w="6638"/>
            <w:tcBorders>
              <w:top w:val="single" w:color="D9D9DE" w:sz="4"/>
              <w:left w:val="single" w:color="D9D9DE" w:sz="4"/>
              <w:bottom w:val="single" w:color="D9D9DE" w:sz="4"/>
              <w:right w:val="single" w:color="D9D9DE" w:sz="4"/>
            </w:tcBorders>
            <w:shd w:fill="F5F5F7" w:color="auto" w:val="clear"/>
            <w:tcMar>
              <w:top w:type="dxa" w:w="50"/>
              <w:left w:type="dxa" w:w="110"/>
              <w:bottom w:type="dxa" w:w="50"/>
              <w:right w:type="dxa" w:w="110"/>
            </w:tcMar>
            <w:vAlign w:val="center"/>
          </w:tcPr>
          <w:p>
            <w:pPr>
              <w:spacing w:after="10" w:line="252"/>
            </w:pPr>
            <w:r>
              <w:rPr>
                <w:rFonts w:ascii="Arial" w:cs="Arial" w:eastAsia="Arial" w:hAnsi="Arial"/>
                <w:color w:val="1D1D1F"/>
                <w:sz w:val="17"/>
                <w:szCs w:val="17"/>
              </w:rPr>
              <w:t xml:space="preserve">It brings risk to light earlier and keeps the evidence behind each suggestion. It supports the compliance function; it does not replace it.</w:t>
            </w:r>
          </w:p>
        </w:tc>
      </w:tr>
      <w:tr>
        <w:trPr>
          <w:cantSplit/>
        </w:trPr>
        <w:tc>
          <w:tcPr>
            <w:tcW w:type="dxa" w:w="3000"/>
            <w:tcBorders>
              <w:top w:val="single" w:color="D9D9DE" w:sz="4"/>
              <w:left w:val="single" w:color="D9D9DE" w:sz="4"/>
              <w:bottom w:val="single" w:color="D9D9DE" w:sz="4"/>
              <w:right w:val="single" w:color="D9D9DE" w:sz="4"/>
            </w:tcBorders>
            <w:tcMar>
              <w:top w:type="dxa" w:w="50"/>
              <w:left w:type="dxa" w:w="110"/>
              <w:bottom w:type="dxa" w:w="50"/>
              <w:right w:type="dxa" w:w="110"/>
            </w:tcMar>
            <w:vAlign w:val="center"/>
          </w:tcPr>
          <w:p>
            <w:pPr>
              <w:spacing w:after="10" w:line="252"/>
            </w:pPr>
            <w:r>
              <w:rPr>
                <w:rFonts w:ascii="Arial" w:cs="Arial" w:eastAsia="Arial" w:hAnsi="Arial"/>
                <w:b/>
                <w:bCs/>
                <w:color w:val="1D1D1F"/>
                <w:sz w:val="17"/>
                <w:szCs w:val="17"/>
              </w:rPr>
              <w:t xml:space="preserve">Does it help revenue, or only cost?</w:t>
            </w:r>
          </w:p>
        </w:tc>
        <w:tc>
          <w:tcPr>
            <w:tcW w:type="dxa" w:w="6638"/>
            <w:tcBorders>
              <w:top w:val="single" w:color="D9D9DE" w:sz="4"/>
              <w:left w:val="single" w:color="D9D9DE" w:sz="4"/>
              <w:bottom w:val="single" w:color="D9D9DE" w:sz="4"/>
              <w:right w:val="single" w:color="D9D9DE" w:sz="4"/>
            </w:tcBorders>
            <w:tcMar>
              <w:top w:type="dxa" w:w="50"/>
              <w:left w:type="dxa" w:w="110"/>
              <w:bottom w:type="dxa" w:w="50"/>
              <w:right w:type="dxa" w:w="110"/>
            </w:tcMar>
            <w:vAlign w:val="center"/>
          </w:tcPr>
          <w:p>
            <w:pPr>
              <w:spacing w:after="10" w:line="252"/>
            </w:pPr>
            <w:r>
              <w:rPr>
                <w:rFonts w:ascii="Arial" w:cs="Arial" w:eastAsia="Arial" w:hAnsi="Arial"/>
                <w:color w:val="1D1D1F"/>
                <w:sz w:val="17"/>
                <w:szCs w:val="17"/>
              </w:rPr>
              <w:t xml:space="preserve">Both. Time returned to selling and fewer missed needs are revenue levers; compliance and rework are cost levers.</w:t>
            </w:r>
          </w:p>
        </w:tc>
      </w:tr>
      <w:tr>
        <w:trPr>
          <w:cantSplit/>
        </w:trPr>
        <w:tc>
          <w:tcPr>
            <w:tcW w:type="dxa" w:w="3000"/>
            <w:tcBorders>
              <w:top w:val="single" w:color="D9D9DE" w:sz="4"/>
              <w:left w:val="single" w:color="D9D9DE" w:sz="4"/>
              <w:bottom w:val="single" w:color="D9D9DE" w:sz="4"/>
              <w:right w:val="single" w:color="D9D9DE" w:sz="4"/>
            </w:tcBorders>
            <w:shd w:fill="F5F5F7" w:color="auto" w:val="clear"/>
            <w:tcMar>
              <w:top w:type="dxa" w:w="50"/>
              <w:left w:type="dxa" w:w="110"/>
              <w:bottom w:type="dxa" w:w="50"/>
              <w:right w:type="dxa" w:w="110"/>
            </w:tcMar>
            <w:vAlign w:val="center"/>
          </w:tcPr>
          <w:p>
            <w:pPr>
              <w:spacing w:after="10" w:line="252"/>
            </w:pPr>
            <w:r>
              <w:rPr>
                <w:rFonts w:ascii="Arial" w:cs="Arial" w:eastAsia="Arial" w:hAnsi="Arial"/>
                <w:b/>
                <w:bCs/>
                <w:color w:val="1D1D1F"/>
                <w:sz w:val="17"/>
                <w:szCs w:val="17"/>
              </w:rPr>
              <w:t xml:space="preserve">What is the downside of waiting?</w:t>
            </w:r>
          </w:p>
        </w:tc>
        <w:tc>
          <w:tcPr>
            <w:tcW w:type="dxa" w:w="6638"/>
            <w:tcBorders>
              <w:top w:val="single" w:color="D9D9DE" w:sz="4"/>
              <w:left w:val="single" w:color="D9D9DE" w:sz="4"/>
              <w:bottom w:val="single" w:color="D9D9DE" w:sz="4"/>
              <w:right w:val="single" w:color="D9D9DE" w:sz="4"/>
            </w:tcBorders>
            <w:shd w:fill="F5F5F7" w:color="auto" w:val="clear"/>
            <w:tcMar>
              <w:top w:type="dxa" w:w="50"/>
              <w:left w:type="dxa" w:w="110"/>
              <w:bottom w:type="dxa" w:w="50"/>
              <w:right w:type="dxa" w:w="110"/>
            </w:tcMar>
            <w:vAlign w:val="center"/>
          </w:tcPr>
          <w:p>
            <w:pPr>
              <w:spacing w:after="10" w:line="252"/>
            </w:pPr>
            <w:r>
              <w:rPr>
                <w:rFonts w:ascii="Arial" w:cs="Arial" w:eastAsia="Arial" w:hAnsi="Arial"/>
                <w:color w:val="1D1D1F"/>
                <w:sz w:val="17"/>
                <w:szCs w:val="17"/>
              </w:rPr>
              <w:t xml:space="preserve">Agent time keeps going to paperwork, follow-up stays slow and uneven, and risk is still found late. The value above is deferred, not lost.</w:t>
            </w:r>
          </w:p>
        </w:tc>
      </w:tr>
    </w:tbl>
    <w:p>
      <w:pPr>
        <w:spacing w:after="60"/>
      </w:pPr>
    </w:p>
    <w:p>
      <w:pPr>
        <w:spacing w:after="100" w:before="80" w:line="262"/>
      </w:pPr>
      <w:r>
        <w:rPr>
          <w:rFonts w:ascii="Arial" w:cs="Arial" w:eastAsia="Arial" w:hAnsi="Arial"/>
          <w:i/>
          <w:iCs/>
          <w:color w:val="6E6E73"/>
          <w:sz w:val="17"/>
          <w:szCs w:val="17"/>
        </w:rPr>
        <w:t xml:space="preserve">Figures marked as illustrations, estimates or assumptions are planning inputs to be confirmed with Finance, Compliance and a baseline measurement. Product behaviour described here was observed in the current working prototype.</w:t>
      </w:r>
    </w:p>
    <w:sectPr>
      <w:footerReference w:type="default" r:id="rId7"/>
      <w:pgSz w:w="11906" w:h="16838" w:orient="portrait"/>
      <w:pgMar w:top="700" w:right="1020" w:bottom="800" w:left="10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31145" w:sz="6" w:space="6"/>
      </w:pBdr>
      <w:jc w:val="right"/>
    </w:pPr>
    <w:r>
      <w:rPr>
        <w:rFonts w:ascii="Arial" w:cs="Arial" w:eastAsia="Arial" w:hAnsi="Arial"/>
        <w:color w:val="6E6E73"/>
        <w:sz w:val="16"/>
        <w:szCs w:val="16"/>
      </w:rPr>
      <w:t xml:space="preserve">AIA Voice Insights · EXCO pre-read · Page </w:t>
    </w:r>
    <w:r>
      <w:rPr>
        <w:rFonts w:ascii="Arial" w:cs="Arial" w:eastAsia="Arial" w:hAnsi="Arial"/>
        <w:color w:val="6E6E7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D31145"/>
      </w:rPr>
    </w:lvl>
  </w:abstractNum>
  <w:abstractNum w:abstractNumId="3" w15:restartNumberingAfterBreak="0">
    <w:multiLevelType w:val="hybridMultilevel"/>
    <w:lvl w:ilvl="0" w15:tentative="1">
      <w:start w:val="1"/>
      <w:numFmt w:val="decimal"/>
      <w:lvlText w:val="%1."/>
      <w:lvlJc w:val="left"/>
      <w:pPr>
        <w:ind w:left="540" w:hanging="300"/>
      </w:pPr>
      <w:rPr>
        <w:rFonts w:ascii="Arial" w:cs="Arial" w:eastAsia="Arial" w:hAnsi="Arial"/>
        <w:b/>
        <w:bCs/>
        <w:color w:val="D31145"/>
      </w:rPr>
    </w:lvl>
  </w:abstractNum>
  <w:abstractNum w:abstractNumId="4" w15:restartNumberingAfterBreak="0">
    <w:multiLevelType w:val="hybridMultilevel"/>
    <w:lvl w:ilvl="0" w15:tentative="1">
      <w:start w:val="1"/>
      <w:numFmt w:val="decimal"/>
      <w:lvlText w:val="%1."/>
      <w:lvlJc w:val="left"/>
      <w:pPr>
        <w:ind w:left="540" w:hanging="300"/>
      </w:pPr>
      <w:rPr>
        <w:rFonts w:ascii="Arial" w:cs="Arial" w:eastAsia="Arial" w:hAnsi="Arial"/>
        <w:b/>
        <w:bCs/>
        <w:color w:val="D31145"/>
      </w:rPr>
    </w:lvl>
  </w:abstractNum>
  <w:abstractNum w:abstractNumId="5" w15:restartNumberingAfterBreak="0">
    <w:multiLevelType w:val="hybridMultilevel"/>
    <w:lvl w:ilvl="0" w15:tentative="1">
      <w:start w:val="1"/>
      <w:numFmt w:val="decimal"/>
      <w:lvlText w:val="%1."/>
      <w:lvlJc w:val="left"/>
      <w:pPr>
        <w:ind w:left="540" w:hanging="300"/>
      </w:pPr>
      <w:rPr>
        <w:rFonts w:ascii="Arial" w:cs="Arial" w:eastAsia="Arial" w:hAnsi="Arial"/>
        <w:b/>
        <w:bCs/>
        <w:color w:val="D31145"/>
      </w:rPr>
    </w:lvl>
  </w:abstractNum>
  <w:abstractNum w:abstractNumId="6" w15:restartNumberingAfterBreak="0">
    <w:multiLevelType w:val="hybridMultilevel"/>
    <w:lvl w:ilvl="0" w15:tentative="1">
      <w:start w:val="1"/>
      <w:numFmt w:val="decimal"/>
      <w:lvlText w:val="%1."/>
      <w:lvlJc w:val="left"/>
      <w:pPr>
        <w:ind w:left="540" w:hanging="300"/>
      </w:pPr>
      <w:rPr>
        <w:rFonts w:ascii="Arial" w:cs="Arial" w:eastAsia="Arial" w:hAnsi="Arial"/>
        <w:b/>
        <w:bCs/>
        <w:color w:val="D31145"/>
      </w:rPr>
    </w:lvl>
  </w:abstractNum>
  <w:abstractNum w:abstractNumId="7" w15:restartNumberingAfterBreak="0">
    <w:multiLevelType w:val="hybridMultilevel"/>
    <w:lvl w:ilvl="0" w15:tentative="1">
      <w:start w:val="1"/>
      <w:numFmt w:val="decimal"/>
      <w:lvlText w:val="%1."/>
      <w:lvlJc w:val="left"/>
      <w:pPr>
        <w:ind w:left="540" w:hanging="300"/>
      </w:pPr>
      <w:rPr>
        <w:rFonts w:ascii="Arial" w:cs="Arial" w:eastAsia="Arial" w:hAnsi="Arial"/>
        <w:b/>
        <w:bCs/>
        <w:color w:val="D31145"/>
      </w:rPr>
    </w:lvl>
  </w:abstractNum>
  <w:abstractNum w:abstractNumId="8" w15:restartNumberingAfterBreak="0">
    <w:multiLevelType w:val="hybridMultilevel"/>
    <w:lvl w:ilvl="0" w15:tentative="1">
      <w:start w:val="1"/>
      <w:numFmt w:val="decimal"/>
      <w:lvlText w:val="%1."/>
      <w:lvlJc w:val="left"/>
      <w:pPr>
        <w:ind w:left="540" w:hanging="300"/>
      </w:pPr>
      <w:rPr>
        <w:rFonts w:ascii="Arial" w:cs="Arial" w:eastAsia="Arial" w:hAnsi="Arial"/>
        <w:b/>
        <w:bCs/>
        <w:color w:val="D31145"/>
      </w:rPr>
    </w:lvl>
  </w:abstractNum>
  <w:abstractNum w:abstractNumId="9" w15:restartNumberingAfterBreak="0">
    <w:multiLevelType w:val="hybridMultilevel"/>
    <w:lvl w:ilvl="0" w15:tentative="1">
      <w:start w:val="1"/>
      <w:numFmt w:val="decimal"/>
      <w:lvlText w:val="%1."/>
      <w:lvlJc w:val="left"/>
      <w:pPr>
        <w:ind w:left="540" w:hanging="300"/>
      </w:pPr>
      <w:rPr>
        <w:rFonts w:ascii="Arial" w:cs="Arial" w:eastAsia="Arial" w:hAnsi="Arial"/>
        <w:b/>
        <w:bCs/>
        <w:color w:val="D31145"/>
      </w:rPr>
    </w:lvl>
  </w:abstractNum>
  <w:abstractNum w:abstractNumId="10" w15:restartNumberingAfterBreak="0">
    <w:multiLevelType w:val="hybridMultilevel"/>
    <w:lvl w:ilvl="0" w15:tentative="1">
      <w:start w:val="1"/>
      <w:numFmt w:val="decimal"/>
      <w:lvlText w:val="%1."/>
      <w:lvlJc w:val="left"/>
      <w:pPr>
        <w:ind w:left="540" w:hanging="300"/>
      </w:pPr>
      <w:rPr>
        <w:rFonts w:ascii="Arial" w:cs="Arial" w:eastAsia="Arial" w:hAnsi="Arial"/>
        <w:b/>
        <w:bCs/>
        <w:color w:val="D31145"/>
      </w:rPr>
    </w:lvl>
  </w:abstractNum>
  <w:abstractNum w:abstractNumId="11" w15:restartNumberingAfterBreak="0">
    <w:multiLevelType w:val="hybridMultilevel"/>
    <w:lvl w:ilvl="0" w15:tentative="1">
      <w:start w:val="1"/>
      <w:numFmt w:val="decimal"/>
      <w:lvlText w:val="%1."/>
      <w:lvlJc w:val="left"/>
      <w:pPr>
        <w:ind w:left="540" w:hanging="300"/>
      </w:pPr>
      <w:rPr>
        <w:rFonts w:ascii="Arial" w:cs="Arial" w:eastAsia="Arial" w:hAnsi="Arial"/>
        <w:b/>
        <w:bCs/>
        <w:color w:val="D31145"/>
      </w:rPr>
    </w:lvl>
  </w:abstractNum>
  <w:abstractNum w:abstractNumId="12" w15:restartNumberingAfterBreak="0">
    <w:multiLevelType w:val="hybridMultilevel"/>
    <w:lvl w:ilvl="0" w15:tentative="1">
      <w:start w:val="1"/>
      <w:numFmt w:val="decimal"/>
      <w:lvlText w:val="%1."/>
      <w:lvlJc w:val="left"/>
      <w:pPr>
        <w:ind w:left="540" w:hanging="300"/>
      </w:pPr>
      <w:rPr>
        <w:rFonts w:ascii="Arial" w:cs="Arial" w:eastAsia="Arial" w:hAnsi="Arial"/>
        <w:b/>
        <w:bCs/>
        <w:color w:val="D31145"/>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60304a6c0c9aa1817097a3aa15734af0f6947347.png"/><Relationship Id="rId9" Type="http://schemas.openxmlformats.org/officeDocument/2006/relationships/image" Target="media/1f2b9ff9148fb7a6d355aeef561380724ca7a1df.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AIA Voice Insights: The business case in two slides</dc:title>
  <dc:creator>AIA Voice Insights</dc:creator>
  <cp:lastModifiedBy>Un-named</cp:lastModifiedBy>
  <cp:revision>1</cp:revision>
  <dcterms:created xsi:type="dcterms:W3CDTF">2026-10-24T10:17:57.784Z</dcterms:created>
  <dcterms:modified xsi:type="dcterms:W3CDTF">2026-10-24T10:17:57.789Z</dcterms:modified>
</cp:coreProperties>
</file>

<file path=docProps/custom.xml><?xml version="1.0" encoding="utf-8"?>
<Properties xmlns="http://schemas.openxmlformats.org/officeDocument/2006/custom-properties" xmlns:vt="http://schemas.openxmlformats.org/officeDocument/2006/docPropsVTypes"/>
</file>