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076A5D0A">
      <w:pPr>
        <w:pStyle w:val="140"/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03.24.1 Purpose</w:t>
      </w:r>
      <w:r/>
    </w:p>
    <w:p w14:paraId="275EE4AB">
      <w:pP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NEXUS has three developers working across the backend and task execution, Windows integration, and AI/context components. Those components must agree on their interfaces before being implemented independently.</w:t>
      </w:r>
      <w:r/>
    </w:p>
    <w:p w14:paraId="02860161">
      <w:pP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This section defines how components exchange requests, structured results, state changes and errors without becoming tightly coupled to each other's internal implementation.</w:t>
      </w:r>
      <w:r/>
    </w:p>
    <w:p w14:paraId="480ECEED">
      <w:pP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The goal is to prevent integration failures such as:</w:t>
      </w:r>
      <w:r/>
    </w:p>
    <w:p w14:paraId="41F2B516">
      <w:pPr>
        <w:pStyle w:val="668"/>
        <w:numPr>
          <w:ilvl w:val="0"/>
          <w:numId w:val="1"/>
        </w:numP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The AI planner returns a structure the orchestrator cannot interpret.</w:t>
      </w:r>
      <w:r/>
    </w:p>
    <w:p w14:paraId="6DC00DD5">
      <w:pPr>
        <w:pStyle w:val="668"/>
        <w:numPr>
          <w:ilvl w:val="0"/>
          <w:numId w:val="1"/>
        </w:numP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The backend authorizes an operation but the bridge expects a different request format.</w:t>
      </w:r>
      <w:r/>
    </w:p>
    <w:p w14:paraId="563ED6FA">
      <w:pPr>
        <w:pStyle w:val="668"/>
        <w:numPr>
          <w:ilvl w:val="0"/>
          <w:numId w:val="1"/>
        </w:numP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The bridge reports a timeout while the backend incorrectly records a definitive failure.</w:t>
      </w:r>
      <w:r/>
    </w:p>
    <w:p w14:paraId="678558B8">
      <w:pPr>
        <w:pStyle w:val="668"/>
        <w:numPr>
          <w:ilvl w:val="0"/>
          <w:numId w:val="1"/>
        </w:numP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One component changes a field name or status value and silently breaks another component.</w:t>
      </w:r>
      <w:r/>
    </w:p>
    <w:p w14:paraId="06FDBE6E">
      <w:pPr>
        <w:pStyle w:val="668"/>
        <w:numPr>
          <w:ilvl w:val="0"/>
          <w:numId w:val="1"/>
        </w:numP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Two workers dispatch the same task step concurrently.</w:t>
      </w:r>
      <w:r/>
    </w:p>
    <w:p w14:paraId="0D184DD8">
      <w:pPr>
        <w:pStyle w:val="668"/>
        <w:numPr>
          <w:ilvl w:val="0"/>
          <w:numId w:val="1"/>
        </w:numP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 model or tool adapter leaks implementation-specific exceptions into the public API.</w:t>
      </w:r>
      <w:r/>
    </w:p>
    <w:p w14:paraId="32469573">
      <w:pP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This section establishes proposed contract shapes and rules, not a final OpenAPI specification or production-ready code.</w:t>
      </w:r>
      <w:r/>
    </w:p>
    <w:p w14:paraId="35166F14">
      <w:pPr>
        <w:pStyle w:val="140"/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03.24.2 Contract design principles</w:t>
      </w:r>
      <w:r/>
    </w:p>
    <w:p w14:paraId="4E9A4F93">
      <w:pPr>
        <w:pStyle w:val="668"/>
        <w:numPr>
          <w:ilvl w:val="0"/>
          <w:numId w:val="2"/>
        </w:numP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Explicit schemas: requests and responses have documented fields and types.</w:t>
      </w:r>
      <w:r/>
    </w:p>
    <w:p w14:paraId="3230D060">
      <w:pPr>
        <w:pStyle w:val="668"/>
        <w:numPr>
          <w:ilvl w:val="0"/>
          <w:numId w:val="2"/>
        </w:numP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Stable identifiers: tasks, steps, devices, operations and approvals have distinct identifiers.</w:t>
      </w:r>
      <w:r/>
    </w:p>
    <w:p w14:paraId="39F9318E">
      <w:pPr>
        <w:pStyle w:val="668"/>
        <w:numPr>
          <w:ilvl w:val="0"/>
          <w:numId w:val="2"/>
        </w:numP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Versioned boundaries: externally consumed contracts declare a version where compatibility matters.</w:t>
      </w:r>
      <w:r/>
    </w:p>
    <w:p w14:paraId="239F4350">
      <w:pPr>
        <w:pStyle w:val="668"/>
        <w:numPr>
          <w:ilvl w:val="0"/>
          <w:numId w:val="2"/>
        </w:numP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Typed errors: expected failures have stable codes; unexpected exceptions do not leak implementation details.</w:t>
      </w:r>
      <w:r/>
    </w:p>
    <w:p w14:paraId="3536C95E">
      <w:pPr>
        <w:pStyle w:val="668"/>
        <w:numPr>
          <w:ilvl w:val="0"/>
          <w:numId w:val="2"/>
        </w:numP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No implicit authority: a valid payload is not automatically an authorized operation.</w:t>
      </w:r>
      <w:r/>
    </w:p>
    <w:p w14:paraId="3B5A1C5B">
      <w:pPr>
        <w:pStyle w:val="668"/>
        <w:numPr>
          <w:ilvl w:val="0"/>
          <w:numId w:val="2"/>
        </w:numP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Durable state is authoritative: task status comes from persisted backend state, not a CLI cache or model response.</w:t>
      </w:r>
      <w:r/>
    </w:p>
    <w:p w14:paraId="35AB3D77">
      <w:pPr>
        <w:pStyle w:val="668"/>
        <w:numPr>
          <w:ilvl w:val="0"/>
          <w:numId w:val="2"/>
        </w:numP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External side effects remain uncertain until verified: transport success is not proof that a computer operation succeeded.</w:t>
      </w:r>
      <w:r/>
    </w:p>
    <w:p w14:paraId="7079A5FD">
      <w:pPr>
        <w:pStyle w:val="668"/>
        <w:numPr>
          <w:ilvl w:val="0"/>
          <w:numId w:val="2"/>
        </w:numP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Backward compatibility: compatible fields can be added deliberately; incompatible changes require a versioned migration plan.</w:t>
      </w:r>
      <w:r/>
    </w:p>
    <w:p w14:paraId="3927BDF9">
      <w:pPr>
        <w:pStyle w:val="668"/>
        <w:numPr>
          <w:ilvl w:val="0"/>
          <w:numId w:val="2"/>
        </w:numP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Bounded payloads: requests, results, logs and retrieved context have defined size limits.</w:t>
      </w:r>
      <w:r/>
    </w:p>
    <w:p w14:paraId="74C9EE7B">
      <w:pPr>
        <w:pStyle w:val="668"/>
        <w:numPr>
          <w:ilvl w:val="0"/>
          <w:numId w:val="2"/>
        </w:numP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Testable independently: every component can be tested against a contract without requiring the entire NEXUS system.</w:t>
      </w:r>
      <w:r/>
    </w:p>
    <w:p w14:paraId="2BCE8FCC">
      <w:pPr>
        <w:pStyle w:val="140"/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03.24.3 Component boundaries</w:t>
      </w:r>
      <w:r/>
    </w:p>
    <w:p w14:paraId="10A4CA72">
      <w:pPr>
        <w:spacing/>
        <w:ind w:right="0" w:firstLine="0" w:left="0"/>
        <w:rPr>
          <w:rFonts w:ascii="Times New Roman" w:hAnsi="Times New Roman" w:eastAsia="Times New Roman" w:cs="Times New Roman"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4997324"/>
                <wp:effectExtent l="0" t="0" r="0" b="0"/>
                <wp:docPr id="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89423633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9"/>
                        <a:stretch/>
                      </pic:blipFill>
                      <pic:spPr bwMode="auto">
                        <a:xfrm>
                          <a:off x="0" y="0"/>
                          <a:ext cx="5943599" cy="499732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468.00pt;height:393.49pt;mso-wrap-distance-left:0.00pt;mso-wrap-distance-top:0.00pt;mso-wrap-distance-right:0.00pt;mso-wrap-distance-bottom:0.00pt;z-index:1;" stroked="false">
                <v:imagedata r:id="rId9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sz w:val="24"/>
        </w:rPr>
      </w:r>
    </w:p>
    <w:p w14:paraId="6D536FD5">
      <w:pPr>
        <w:spacing/>
        <w:ind w:right="0" w:firstLine="0" w:left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These are logical boundaries. They do not require every box to be a separate process or microservice. The initial backend remains a modular monolith unless measurements justify a different deployment.</w:t>
      </w:r>
      <w:r/>
      <w:r/>
    </w:p>
    <w:p w14:paraId="123FE441">
      <w:pPr>
        <w:pStyle w:val="140"/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03.24.4 Shared identifier and data conventions</w:t>
      </w:r>
      <w:r/>
    </w:p>
    <w:p w14:paraId="672130CB">
      <w:pP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The following identifiers serve different purposes and must not be interchangeable.</w:t>
      </w:r>
      <w:r/>
    </w:p>
    <w:tbl>
      <w:tblPr>
        <w:tblStyle w:val="12"/>
        <w:tblInd w:w="0" w:type="dxa"/>
        <w:tblW w:w="0" w:type="auto"/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tblLayout w:type="autofit"/>
        <w:tblLook w:val="04A0" w:firstRow="1" w:lastRow="0" w:firstColumn="1" w:lastColumn="0" w:noHBand="0" w:noVBand="1"/>
      </w:tblPr>
      <w:tblGrid>
        <w:gridCol w:w="1501"/>
        <w:gridCol w:w="6111"/>
      </w:tblGrid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501" w:type="dxa"/>
            <w:vAlign w:val="center"/>
          </w:tcPr>
          <w:p w14:paraId="09337065">
            <w:pPr>
              <w:spacing/>
              <w:ind w:right="0" w:firstLine="0" w:left="0"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Identifier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6111" w:type="dxa"/>
            <w:vAlign w:val="center"/>
          </w:tcPr>
          <w:p w14:paraId="5745F205">
            <w:pPr>
              <w:spacing/>
              <w:ind w:right="0" w:firstLine="0" w:left="0"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Purpose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501" w:type="dxa"/>
            <w:vAlign w:val="center"/>
          </w:tcPr>
          <w:p w14:paraId="0E417F61">
            <w:pPr>
              <w:spacing/>
              <w:ind w:right="0" w:firstLine="0" w:left="0"/>
              <w:rPr/>
            </w:pPr>
            <w:r>
              <w:rPr>
                <w:rFonts w:ascii="Courier New" w:hAnsi="Courier New" w:eastAsia="Courier New" w:cs="Courier New"/>
                <w:color w:val="000000"/>
                <w:sz w:val="20"/>
              </w:rPr>
              <w:t xml:space="preserve">user_id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6111" w:type="dxa"/>
            <w:vAlign w:val="center"/>
          </w:tcPr>
          <w:p w14:paraId="7C91A79F">
            <w:pP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Identifies the account requesting or owning an operation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501" w:type="dxa"/>
            <w:vAlign w:val="center"/>
          </w:tcPr>
          <w:p w14:paraId="2B4FF06E">
            <w:pPr>
              <w:spacing/>
              <w:ind w:right="0" w:firstLine="0" w:left="0"/>
              <w:rPr/>
            </w:pPr>
            <w:r>
              <w:rPr>
                <w:rFonts w:ascii="Courier New" w:hAnsi="Courier New" w:eastAsia="Courier New" w:cs="Courier New"/>
                <w:color w:val="000000"/>
                <w:sz w:val="20"/>
              </w:rPr>
              <w:t xml:space="preserve">device_id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6111" w:type="dxa"/>
            <w:vAlign w:val="center"/>
          </w:tcPr>
          <w:p w14:paraId="4D52D547">
            <w:pP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Identifies a registered Windows computer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501" w:type="dxa"/>
            <w:vAlign w:val="center"/>
          </w:tcPr>
          <w:p w14:paraId="73C6C8A3">
            <w:pPr>
              <w:spacing/>
              <w:ind w:right="0" w:firstLine="0" w:left="0"/>
              <w:rPr/>
            </w:pPr>
            <w:r>
              <w:rPr>
                <w:rFonts w:ascii="Courier New" w:hAnsi="Courier New" w:eastAsia="Courier New" w:cs="Courier New"/>
                <w:color w:val="000000"/>
                <w:sz w:val="20"/>
              </w:rPr>
              <w:t xml:space="preserve">task_id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6111" w:type="dxa"/>
            <w:vAlign w:val="center"/>
          </w:tcPr>
          <w:p w14:paraId="66682106">
            <w:pP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Identifies a durable user request and its execution lifecycle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501" w:type="dxa"/>
            <w:vAlign w:val="center"/>
          </w:tcPr>
          <w:p w14:paraId="7F604F30">
            <w:pPr>
              <w:spacing/>
              <w:ind w:right="0" w:firstLine="0" w:left="0"/>
              <w:rPr/>
            </w:pPr>
            <w:r>
              <w:rPr>
                <w:rFonts w:ascii="Courier New" w:hAnsi="Courier New" w:eastAsia="Courier New" w:cs="Courier New"/>
                <w:color w:val="000000"/>
                <w:sz w:val="20"/>
              </w:rPr>
              <w:t xml:space="preserve">step_id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6111" w:type="dxa"/>
            <w:vAlign w:val="center"/>
          </w:tcPr>
          <w:p w14:paraId="44E5FD08">
            <w:pP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Identifies one logical operation within a task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501" w:type="dxa"/>
            <w:vAlign w:val="center"/>
          </w:tcPr>
          <w:p w14:paraId="30E4BC89">
            <w:pPr>
              <w:spacing/>
              <w:ind w:right="0" w:firstLine="0" w:left="0"/>
              <w:rPr/>
            </w:pPr>
            <w:r>
              <w:rPr>
                <w:rFonts w:ascii="Courier New" w:hAnsi="Courier New" w:eastAsia="Courier New" w:cs="Courier New"/>
                <w:color w:val="000000"/>
                <w:sz w:val="20"/>
              </w:rPr>
              <w:t xml:space="preserve">operation_id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6111" w:type="dxa"/>
            <w:vAlign w:val="center"/>
          </w:tcPr>
          <w:p w14:paraId="34837EFB">
            <w:pP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Identifies the intended external operation across delivery retries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501" w:type="dxa"/>
            <w:vAlign w:val="center"/>
          </w:tcPr>
          <w:p w14:paraId="5FE32371">
            <w:pPr>
              <w:spacing/>
              <w:ind w:right="0" w:firstLine="0" w:left="0"/>
              <w:rPr/>
            </w:pPr>
            <w:r>
              <w:rPr>
                <w:rFonts w:ascii="Courier New" w:hAnsi="Courier New" w:eastAsia="Courier New" w:cs="Courier New"/>
                <w:color w:val="000000"/>
                <w:sz w:val="20"/>
              </w:rPr>
              <w:t xml:space="preserve">attempt_id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6111" w:type="dxa"/>
            <w:vAlign w:val="center"/>
          </w:tcPr>
          <w:p w14:paraId="58AF9AF2">
            <w:pP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Identifies one attempt to deliver or execute that operation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501" w:type="dxa"/>
            <w:vAlign w:val="center"/>
          </w:tcPr>
          <w:p w14:paraId="4CD6279C">
            <w:pPr>
              <w:spacing/>
              <w:ind w:right="0" w:firstLine="0" w:left="0"/>
              <w:rPr/>
            </w:pPr>
            <w:r>
              <w:rPr>
                <w:rFonts w:ascii="Courier New" w:hAnsi="Courier New" w:eastAsia="Courier New" w:cs="Courier New"/>
                <w:color w:val="000000"/>
                <w:sz w:val="20"/>
              </w:rPr>
              <w:t xml:space="preserve">approval_id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6111" w:type="dxa"/>
            <w:vAlign w:val="center"/>
          </w:tcPr>
          <w:p w14:paraId="0C17833B">
            <w:pP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Identifies a decision request for an operation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501" w:type="dxa"/>
            <w:vAlign w:val="center"/>
          </w:tcPr>
          <w:p w14:paraId="441B11A0">
            <w:pPr>
              <w:spacing/>
              <w:ind w:right="0" w:firstLine="0" w:left="0"/>
              <w:rPr/>
            </w:pPr>
            <w:r>
              <w:rPr>
                <w:rFonts w:ascii="Courier New" w:hAnsi="Courier New" w:eastAsia="Courier New" w:cs="Courier New"/>
                <w:color w:val="000000"/>
                <w:sz w:val="20"/>
              </w:rPr>
              <w:t xml:space="preserve">request_id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6111" w:type="dxa"/>
            <w:vAlign w:val="center"/>
          </w:tcPr>
          <w:p w14:paraId="2E39A4BE">
            <w:pP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Correlates an API request with its response and diagnostics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501" w:type="dxa"/>
            <w:vAlign w:val="center"/>
          </w:tcPr>
          <w:p w14:paraId="14802240">
            <w:pPr>
              <w:spacing/>
              <w:ind w:right="0" w:firstLine="0" w:left="0"/>
              <w:rPr/>
            </w:pPr>
            <w:r>
              <w:rPr>
                <w:rFonts w:ascii="Courier New" w:hAnsi="Courier New" w:eastAsia="Courier New" w:cs="Courier New"/>
                <w:color w:val="000000"/>
                <w:sz w:val="20"/>
              </w:rPr>
              <w:t xml:space="preserve">event_id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6111" w:type="dxa"/>
            <w:vAlign w:val="center"/>
          </w:tcPr>
          <w:p w14:paraId="537C2D40">
            <w:pP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Identifies a persisted or delivered event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501" w:type="dxa"/>
            <w:vAlign w:val="center"/>
          </w:tcPr>
          <w:p w14:paraId="1082D24D">
            <w:pPr>
              <w:spacing/>
              <w:ind w:right="0" w:firstLine="0" w:left="0"/>
              <w:rPr/>
            </w:pPr>
            <w:r>
              <w:rPr>
                <w:rFonts w:ascii="Courier New" w:hAnsi="Courier New" w:eastAsia="Courier New" w:cs="Courier New"/>
                <w:color w:val="000000"/>
                <w:sz w:val="20"/>
              </w:rPr>
              <w:t xml:space="preserve">policy_version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6111" w:type="dxa"/>
            <w:vAlign w:val="center"/>
          </w:tcPr>
          <w:p w14:paraId="5BC97BCE">
            <w:pP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Identifies the policy version used for a decision</w:t>
            </w:r>
            <w:r/>
          </w:p>
        </w:tc>
      </w:tr>
    </w:tbl>
    <w:p w14:paraId="5973A15D">
      <w:pP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Proposed conventions</w:t>
      </w:r>
      <w:r/>
    </w:p>
    <w:p w14:paraId="2547474F">
      <w:pPr>
        <w:pStyle w:val="668"/>
        <w:numPr>
          <w:ilvl w:val="0"/>
          <w:numId w:val="3"/>
        </w:numP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IDs are opaque to clients; clients must not infer ownership or permissions from their format.</w:t>
      </w:r>
      <w:r/>
    </w:p>
    <w:p w14:paraId="03CCF054">
      <w:pPr>
        <w:pStyle w:val="668"/>
        <w:numPr>
          <w:ilvl w:val="0"/>
          <w:numId w:val="3"/>
        </w:numP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Timestamps use UTC in ISO 8601 format.</w:t>
      </w:r>
      <w:r/>
    </w:p>
    <w:p w14:paraId="58D859AF">
      <w:pPr>
        <w:pStyle w:val="668"/>
        <w:numPr>
          <w:ilvl w:val="0"/>
          <w:numId w:val="3"/>
        </w:numP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Durations use milliseconds where represented numerically.</w:t>
      </w:r>
      <w:r/>
    </w:p>
    <w:p w14:paraId="5C109B0E">
      <w:pPr>
        <w:pStyle w:val="668"/>
        <w:numPr>
          <w:ilvl w:val="0"/>
          <w:numId w:val="3"/>
        </w:numP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Task and operation states use documented enumerated values, not arbitrary model-generated strings.</w:t>
      </w:r>
      <w:r/>
    </w:p>
    <w:p w14:paraId="6F619CD7">
      <w:pPr>
        <w:pStyle w:val="668"/>
        <w:numPr>
          <w:ilvl w:val="0"/>
          <w:numId w:val="3"/>
        </w:numP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Optional fields must have defined semantics. Missing, </w:t>
      </w:r>
      <w:r>
        <w:rPr>
          <w:rFonts w:ascii="Courier New" w:hAnsi="Courier New" w:eastAsia="Courier New" w:cs="Courier New"/>
          <w:color w:val="000000"/>
          <w:sz w:val="20"/>
        </w:rPr>
        <w:t xml:space="preserve">null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, empty and unknown values must not be treated as interchangeable.</w:t>
      </w:r>
      <w:r/>
    </w:p>
    <w:p w14:paraId="34FE700F">
      <w:pPr>
        <w:pStyle w:val="668"/>
        <w:numPr>
          <w:ilvl w:val="0"/>
          <w:numId w:val="3"/>
        </w:numP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Request and result payloads must be bounded.</w:t>
      </w:r>
      <w:r/>
    </w:p>
    <w:p w14:paraId="3C26FBCF">
      <w:pPr>
        <w:pStyle w:val="668"/>
        <w:numPr>
          <w:ilvl w:val="0"/>
          <w:numId w:val="3"/>
        </w:numP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Internal Python exceptions must be mapped to documented application errors at the appropriate boundary.</w:t>
      </w:r>
      <w:r/>
    </w:p>
    <w:p w14:paraId="458D249A">
      <w:pP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The precise ID format, such as UUIDs, and the serialization library remain implementation choices. The important requirement is consistent behavior across components.</w:t>
      </w:r>
      <w:r/>
    </w:p>
    <w:p w14:paraId="27E6BABC">
      <w:pPr>
        <w:pStyle w:val="140"/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03.24.5 Contract A — CLI to FastAPI</w:t>
      </w:r>
      <w:r/>
    </w:p>
    <w:p w14:paraId="09694CD6">
      <w:pP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The CLI communicates with the backend through the versioned </w:t>
      </w:r>
      <w:r>
        <w:rPr>
          <w:rFonts w:ascii="Courier New" w:hAnsi="Courier New" w:eastAsia="Courier New" w:cs="Courier New"/>
          <w:color w:val="000000"/>
          <w:sz w:val="20"/>
        </w:rPr>
        <w:t xml:space="preserve">/v1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API defined in Section 03.16.</w:t>
      </w:r>
      <w:r/>
    </w:p>
    <w:p w14:paraId="6634B191">
      <w:pPr>
        <w:pStyle w:val="141"/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Task submission</w:t>
      </w:r>
      <w:r/>
    </w:p>
    <w:p w14:paraId="201D939E">
      <w:pP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Proposed request:</w:t>
      </w:r>
      <w:r/>
    </w:p>
    <w:p w14:paraId="602A3E4C">
      <w:pP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{</w:t>
      </w:r>
      <w:r/>
    </w:p>
    <w:p w14:paraId="7DF1D87B">
      <w:pP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"client_request_id": "client-generated-id",</w:t>
      </w:r>
      <w:r/>
    </w:p>
    <w:p w14:paraId="2262C87F">
      <w:pP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"target_device_id": "registered-device-id",</w:t>
      </w:r>
      <w:r/>
    </w:p>
    <w:p w14:paraId="0DF4A2A4">
      <w:pP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"request": "Find the project design document"</w:t>
      </w:r>
      <w:r/>
    </w:p>
    <w:p w14:paraId="1E5D9063">
      <w:pP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}</w:t>
      </w:r>
      <w:r/>
    </w:p>
    <w:p w14:paraId="1D577C1D">
      <w:pP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Proposed response:</w:t>
      </w:r>
      <w:r/>
    </w:p>
    <w:p w14:paraId="091C5714">
      <w:pP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{</w:t>
      </w:r>
      <w:r/>
    </w:p>
    <w:p w14:paraId="56325584">
      <w:pP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"task_id": "server-generated-task-id",</w:t>
      </w:r>
      <w:r/>
    </w:p>
    <w:p w14:paraId="73AB6D59">
      <w:pP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"status": "queued",</w:t>
      </w:r>
      <w:r/>
    </w:p>
    <w:p w14:paraId="26E17006">
      <w:pP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"request_id": "api-request-id"</w:t>
      </w:r>
      <w:r/>
    </w:p>
    <w:p w14:paraId="67A7BF65">
      <w:pP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}</w:t>
      </w:r>
      <w:r/>
    </w:p>
    <w:p w14:paraId="379DB4ED">
      <w:pP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The values above are illustrative placeholders, not a finalized schema.</w:t>
      </w:r>
      <w:r/>
    </w:p>
    <w:p w14:paraId="108EA881">
      <w:pPr>
        <w:pStyle w:val="141"/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Contract requirements</w:t>
      </w:r>
      <w:r/>
    </w:p>
    <w:p w14:paraId="622FB28A">
      <w:pPr>
        <w:pStyle w:val="668"/>
        <w:numPr>
          <w:ilvl w:val="0"/>
          <w:numId w:val="3"/>
        </w:numP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The caller must be authenticated.</w:t>
      </w:r>
      <w:r/>
    </w:p>
    <w:p w14:paraId="27ADBBAA">
      <w:pPr>
        <w:pStyle w:val="668"/>
        <w:numPr>
          <w:ilvl w:val="0"/>
          <w:numId w:val="3"/>
        </w:numP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The backend derives the task owner from authenticated identity, never from an untrusted </w:t>
      </w:r>
      <w:r>
        <w:rPr>
          <w:rFonts w:ascii="Courier New" w:hAnsi="Courier New" w:eastAsia="Courier New" w:cs="Courier New"/>
          <w:color w:val="000000"/>
          <w:sz w:val="20"/>
        </w:rPr>
        <w:t xml:space="preserve">user_id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in the request.</w:t>
      </w:r>
      <w:r/>
    </w:p>
    <w:p w14:paraId="4DAE4310">
      <w:pPr>
        <w:pStyle w:val="668"/>
        <w:numPr>
          <w:ilvl w:val="0"/>
          <w:numId w:val="3"/>
        </w:numP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The target device must be explicitly supplied or resolved through a configured default that the CLI displays clearly.</w:t>
      </w:r>
      <w:r/>
    </w:p>
    <w:p w14:paraId="0E1E5FC8">
      <w:pPr>
        <w:pStyle w:val="668"/>
        <w:numPr>
          <w:ilvl w:val="0"/>
          <w:numId w:val="3"/>
        </w:numP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The backend verifies that the caller is authorized to use that device.</w:t>
      </w:r>
      <w:r/>
    </w:p>
    <w:p w14:paraId="199804B4">
      <w:pPr>
        <w:pStyle w:val="668"/>
        <w:numPr>
          <w:ilvl w:val="0"/>
          <w:numId w:val="3"/>
        </w:numP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Duplicate submission with the same user's </w:t>
      </w:r>
      <w:r>
        <w:rPr>
          <w:rFonts w:ascii="Courier New" w:hAnsi="Courier New" w:eastAsia="Courier New" w:cs="Courier New"/>
          <w:color w:val="000000"/>
          <w:sz w:val="20"/>
        </w:rPr>
        <w:t xml:space="preserve">client_request_id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and equivalent payload returns the existing task rather than creating a duplicate.</w:t>
      </w:r>
      <w:r/>
    </w:p>
    <w:p w14:paraId="4F5C5DB1">
      <w:pPr>
        <w:pStyle w:val="668"/>
        <w:numPr>
          <w:ilvl w:val="0"/>
          <w:numId w:val="3"/>
        </w:numP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Reusing the identifier with a different payload produces a documented conflict.</w:t>
      </w:r>
      <w:r/>
    </w:p>
    <w:p w14:paraId="790D585F">
      <w:pPr>
        <w:pStyle w:val="668"/>
        <w:numPr>
          <w:ilvl w:val="0"/>
          <w:numId w:val="3"/>
        </w:numP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 successful response means the task was durably accepted—not that the operation has completed.</w:t>
      </w:r>
      <w:r/>
    </w:p>
    <w:p w14:paraId="570764C2">
      <w:pPr>
        <w:pStyle w:val="141"/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Task status</w:t>
      </w:r>
      <w:r/>
    </w:p>
    <w:p w14:paraId="057F3C56">
      <w:pP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The status endpoint should return the persisted task state, timestamps, safe progress information, required user action and an error summary when applicable.</w:t>
      </w:r>
      <w:r/>
    </w:p>
    <w:p w14:paraId="071F59AA">
      <w:pP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The API must not expose another user's private task data simply because a caller knows a task ID. Every task-related endpoint requires an ownership or explicitly granted access check.</w:t>
      </w:r>
      <w:r/>
    </w:p>
    <w:p w14:paraId="38684B74">
      <w:pPr>
        <w:pStyle w:val="141"/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Cancellation and approval</w:t>
      </w:r>
      <w:r/>
    </w:p>
    <w:p w14:paraId="18D7114F">
      <w:pPr>
        <w:pStyle w:val="668"/>
        <w:numPr>
          <w:ilvl w:val="0"/>
          <w:numId w:val="3"/>
        </w:numP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 cancellation request records a request to stop; it does not claim that an external operation has stopped.</w:t>
      </w:r>
      <w:r/>
    </w:p>
    <w:p w14:paraId="03DA8B46">
      <w:pPr>
        <w:pStyle w:val="668"/>
        <w:numPr>
          <w:ilvl w:val="0"/>
          <w:numId w:val="3"/>
        </w:numP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An approval endpoint records a decision only after authentication, authorization and operation-binding checks.</w:t>
      </w:r>
      <w:r/>
    </w:p>
    <w:p w14:paraId="0E67702A">
      <w:pPr>
        <w:pStyle w:val="668"/>
        <w:numPr>
          <w:ilvl w:val="0"/>
          <w:numId w:val="3"/>
        </w:numP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 CLI disconnect or interruption of status polling does not cancel the underlying task.</w:t>
      </w:r>
      <w:r/>
    </w:p>
    <w:p w14:paraId="3C215963">
      <w:pPr>
        <w:pStyle w:val="668"/>
        <w:numPr>
          <w:ilvl w:val="0"/>
          <w:numId w:val="3"/>
        </w:numP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 retry of an API request must not create a duplicate task or approval decision.</w:t>
      </w:r>
      <w:r/>
    </w:p>
    <w:p w14:paraId="0621D635">
      <w:pPr>
        <w:pStyle w:val="140"/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03.24.6 Contract B — AI planner to application services</w:t>
      </w:r>
      <w:r/>
    </w:p>
    <w:p w14:paraId="6B7BA8FF">
      <w:pP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The AI planner accepts a bounded request and the authorized context prepared by NEXUS. It returns a structured proposal or asks for clarification.</w:t>
      </w:r>
      <w:r/>
    </w:p>
    <w:p w14:paraId="4E79A146">
      <w:pP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Proposed internal result:</w:t>
      </w:r>
      <w:r/>
    </w:p>
    <w:p w14:paraId="702560AA">
      <w:pP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{</w:t>
      </w:r>
      <w:r/>
    </w:p>
    <w:p w14:paraId="4B6857EA">
      <w:pP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"schema_version": 1,</w:t>
      </w:r>
      <w:r/>
    </w:p>
    <w:p w14:paraId="7C53678E">
      <w:pP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"goal_summary": "Locate the requested project document",</w:t>
      </w:r>
      <w:r/>
    </w:p>
    <w:p w14:paraId="551FFAC4">
      <w:pP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"needs_clarification": false,</w:t>
      </w:r>
      <w:r/>
    </w:p>
    <w:p w14:paraId="7F02DCAC">
      <w:pP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"steps": [</w:t>
      </w:r>
      <w:r/>
    </w:p>
    <w:p w14:paraId="562B3AF8">
      <w:pP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{</w:t>
      </w:r>
      <w:r/>
    </w:p>
    <w:p w14:paraId="32183C36">
      <w:pP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"step_number": 1,</w:t>
      </w:r>
      <w:r/>
    </w:p>
    <w:p w14:paraId="1DB30AF3">
      <w:pP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"tool_name": "search_files",</w:t>
      </w:r>
      <w:r/>
    </w:p>
    <w:p w14:paraId="1D5A7D65">
      <w:pP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"arguments": {</w:t>
      </w:r>
      <w:r/>
    </w:p>
    <w:p w14:paraId="38F0AB70">
      <w:pP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"directory_id": "project-documents",</w:t>
      </w:r>
      <w:r/>
    </w:p>
    <w:p w14:paraId="47A52AC4">
      <w:pP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"query": "design"</w:t>
      </w:r>
      <w:r/>
    </w:p>
    <w:p w14:paraId="7C1A2A06">
      <w:pP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},</w:t>
      </w:r>
      <w:r/>
    </w:p>
    <w:p w14:paraId="5E55EACB">
      <w:pP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"expected_outcome": "Matching file metadata is returned"</w:t>
      </w:r>
      <w:r/>
    </w:p>
    <w:p w14:paraId="36AF3829">
      <w:pP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}</w:t>
      </w:r>
      <w:r/>
    </w:p>
    <w:p w14:paraId="70123B31">
      <w:pP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]</w:t>
      </w:r>
      <w:r/>
    </w:p>
    <w:p w14:paraId="238E85CA">
      <w:pP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}</w:t>
      </w:r>
      <w:r/>
    </w:p>
    <w:p w14:paraId="3F8178D8">
      <w:pP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This is a conceptual contract. It is not yet the final schema, and the tool's arguments must match the trusted registry before use.</w:t>
      </w:r>
      <w:r/>
    </w:p>
    <w:p w14:paraId="6EE758E5">
      <w:pPr>
        <w:pStyle w:val="141"/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Planner responsibilities</w:t>
      </w:r>
      <w:r/>
    </w:p>
    <w:p w14:paraId="363AC2CE">
      <w:pPr>
        <w:pStyle w:val="668"/>
        <w:numPr>
          <w:ilvl w:val="0"/>
          <w:numId w:val="3"/>
        </w:numP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Interpret the user's request.</w:t>
      </w:r>
      <w:r/>
    </w:p>
    <w:p w14:paraId="01AD55B2">
      <w:pPr>
        <w:pStyle w:val="668"/>
        <w:numPr>
          <w:ilvl w:val="0"/>
          <w:numId w:val="3"/>
        </w:numP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Select from the tools and capabilities provided in the planning context.</w:t>
      </w:r>
      <w:r/>
    </w:p>
    <w:p w14:paraId="0D61E275">
      <w:pPr>
        <w:pStyle w:val="668"/>
        <w:numPr>
          <w:ilvl w:val="0"/>
          <w:numId w:val="3"/>
        </w:numP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Produce structured, bounded proposals.</w:t>
      </w:r>
      <w:r/>
    </w:p>
    <w:p w14:paraId="2352605F">
      <w:pPr>
        <w:pStyle w:val="668"/>
        <w:numPr>
          <w:ilvl w:val="0"/>
          <w:numId w:val="3"/>
        </w:numP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Identify missing information when clarification is necessary.</w:t>
      </w:r>
      <w:r/>
    </w:p>
    <w:p w14:paraId="505E60FC">
      <w:pPr>
        <w:pStyle w:val="668"/>
        <w:numPr>
          <w:ilvl w:val="0"/>
          <w:numId w:val="3"/>
        </w:numP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Describe expected outcomes without claiming they have occurred.</w:t>
      </w:r>
      <w:r/>
    </w:p>
    <w:p w14:paraId="409C1D67">
      <w:pPr>
        <w:pStyle w:val="668"/>
        <w:numPr>
          <w:ilvl w:val="0"/>
          <w:numId w:val="3"/>
        </w:numP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Return a typed failure when planning cannot proceed.</w:t>
      </w:r>
      <w:r/>
    </w:p>
    <w:p w14:paraId="37E5DD4E">
      <w:pPr>
        <w:pStyle w:val="141"/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Planner restrictions</w:t>
      </w:r>
      <w:r/>
    </w:p>
    <w:p w14:paraId="0FFCE2F1">
      <w:pP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The planner cannot:</w:t>
      </w:r>
      <w:r/>
    </w:p>
    <w:p w14:paraId="2C8A6A29">
      <w:pPr>
        <w:pStyle w:val="668"/>
        <w:numPr>
          <w:ilvl w:val="0"/>
          <w:numId w:val="3"/>
        </w:numP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Authorize its own proposed operations.</w:t>
      </w:r>
      <w:r/>
    </w:p>
    <w:p w14:paraId="41B25EC5">
      <w:pPr>
        <w:pStyle w:val="668"/>
        <w:numPr>
          <w:ilvl w:val="0"/>
          <w:numId w:val="3"/>
        </w:numP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Create or modify registered tools.</w:t>
      </w:r>
      <w:r/>
    </w:p>
    <w:p w14:paraId="3727D7B4">
      <w:pPr>
        <w:pStyle w:val="668"/>
        <w:numPr>
          <w:ilvl w:val="0"/>
          <w:numId w:val="3"/>
        </w:numP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Change permissions, risk classifications or target-device ownership.</w:t>
      </w:r>
      <w:r/>
    </w:p>
    <w:p w14:paraId="6AD71738">
      <w:pPr>
        <w:pStyle w:val="668"/>
        <w:numPr>
          <w:ilvl w:val="0"/>
          <w:numId w:val="3"/>
        </w:numP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Mark an operation as successfully executed.</w:t>
      </w:r>
      <w:r/>
    </w:p>
    <w:p w14:paraId="2B29E7ED">
      <w:pPr>
        <w:pStyle w:val="668"/>
        <w:numPr>
          <w:ilvl w:val="0"/>
          <w:numId w:val="3"/>
        </w:numP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Write directly to authoritative task state.</w:t>
      </w:r>
      <w:r/>
    </w:p>
    <w:p w14:paraId="6F2FC05D">
      <w:pPr>
        <w:pStyle w:val="668"/>
        <w:numPr>
          <w:ilvl w:val="0"/>
          <w:numId w:val="3"/>
        </w:numP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Bypass approval requirements by rewriting a request as a different action.</w:t>
      </w:r>
      <w:r/>
    </w:p>
    <w:p w14:paraId="71EE866B">
      <w:pP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The application services validate the planner's output and decide whether it can proceed. If the model produces malformed output, the backend must reject or retry planning within a bounded policy; it must not attempt to execute the malformed response.</w:t>
      </w:r>
      <w:r/>
    </w:p>
    <w:p w14:paraId="53A1D89A">
      <w:pPr>
        <w:pStyle w:val="140"/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03.24.7 Contract C — Orchestrator to policy engine</w:t>
      </w:r>
      <w:r/>
    </w:p>
    <w:p w14:paraId="0C9A1E5D">
      <w:pP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The orchestrator asks the policy engine to evaluate a proposed operation using trusted identity, device, resource and tool information.</w:t>
      </w:r>
      <w:r/>
    </w:p>
    <w:p w14:paraId="06C6F4B3">
      <w:pP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Proposed logical input:</w:t>
      </w:r>
      <w:r/>
    </w:p>
    <w:p w14:paraId="2DBBCD4F">
      <w:pP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{</w:t>
      </w:r>
      <w:r/>
    </w:p>
    <w:p w14:paraId="40FF78D7">
      <w:pP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"task_id": "task-id",</w:t>
      </w:r>
      <w:r/>
    </w:p>
    <w:p w14:paraId="2BB2108D">
      <w:pP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"step_id": "step-id",</w:t>
      </w:r>
      <w:r/>
    </w:p>
    <w:p w14:paraId="5170A574">
      <w:pP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"user_id": "authenticated-user-id",</w:t>
      </w:r>
      <w:r/>
    </w:p>
    <w:p w14:paraId="7CC39C0C">
      <w:pP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"target_device_id": "registered-device-id",</w:t>
      </w:r>
      <w:r/>
    </w:p>
    <w:p w14:paraId="68EC178A">
      <w:pP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"tool_name": "create_file",</w:t>
      </w:r>
      <w:r/>
    </w:p>
    <w:p w14:paraId="0BA0C53F">
      <w:pP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"normalized_arguments": {</w:t>
      </w:r>
      <w:r/>
    </w:p>
    <w:p w14:paraId="4F174B58">
      <w:pP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"directory_id": "approved-workspace",</w:t>
      </w:r>
      <w:r/>
    </w:p>
    <w:p w14:paraId="7F4BAA77">
      <w:pP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"filename": "notes.txt"</w:t>
      </w:r>
      <w:r/>
    </w:p>
    <w:p w14:paraId="4882A5F1">
      <w:pP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},</w:t>
      </w:r>
      <w:r/>
    </w:p>
    <w:p w14:paraId="06EE8662">
      <w:pP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"approval_id": null</w:t>
      </w:r>
      <w:r/>
    </w:p>
    <w:p w14:paraId="0DDE3387">
      <w:pP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}</w:t>
      </w:r>
      <w:r/>
    </w:p>
    <w:p w14:paraId="400E4496">
      <w:pP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The policy engine must not trust a supplied user or device identifier merely because it appears in the payload. It must receive or resolve trusted authorization context from the application layer.</w:t>
      </w:r>
      <w:r/>
    </w:p>
    <w:p w14:paraId="33DB68FC">
      <w:pP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Proposed logical result:</w:t>
      </w:r>
      <w:r/>
    </w:p>
    <w:p w14:paraId="42519663">
      <w:pP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{</w:t>
      </w:r>
      <w:r/>
    </w:p>
    <w:p w14:paraId="16C794CE">
      <w:pP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"decision": "REQUIRE_APPROVAL",</w:t>
      </w:r>
      <w:r/>
    </w:p>
    <w:p w14:paraId="3A967BDC">
      <w:pP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"reason_code": "APPROVAL_REQUIRED",</w:t>
      </w:r>
      <w:r/>
    </w:p>
    <w:p w14:paraId="5E30F2E4">
      <w:pP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"policy_version": "active-policy-version",</w:t>
      </w:r>
      <w:r/>
    </w:p>
    <w:p w14:paraId="050EA2C3">
      <w:pP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"required_permissions": [</w:t>
      </w:r>
      <w:r/>
    </w:p>
    <w:p w14:paraId="25A5DDFD">
      <w:pP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"workspace.file.create"</w:t>
      </w:r>
      <w:r/>
    </w:p>
    <w:p w14:paraId="70CFF5A0">
      <w:pP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]</w:t>
      </w:r>
      <w:r/>
    </w:p>
    <w:p w14:paraId="3FCABBD5">
      <w:pP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}</w:t>
      </w:r>
      <w:r/>
    </w:p>
    <w:p w14:paraId="72182B7A">
      <w:pP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These examples describe the shape of the interaction, not final production values.</w:t>
      </w:r>
      <w:r/>
    </w:p>
    <w:p w14:paraId="4654DE17">
      <w:pPr>
        <w:pStyle w:val="141"/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Contract requirements</w:t>
      </w:r>
      <w:r/>
    </w:p>
    <w:p w14:paraId="417280EA">
      <w:pPr>
        <w:pStyle w:val="668"/>
        <w:numPr>
          <w:ilvl w:val="0"/>
          <w:numId w:val="3"/>
        </w:numP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Policy decisions use deterministic, testable application logic.</w:t>
      </w:r>
      <w:r/>
    </w:p>
    <w:p w14:paraId="090C65AF">
      <w:pPr>
        <w:pStyle w:val="668"/>
        <w:numPr>
          <w:ilvl w:val="0"/>
          <w:numId w:val="3"/>
        </w:numP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The decision includes a reason code suitable for audit and diagnosis.</w:t>
      </w:r>
      <w:r/>
    </w:p>
    <w:p w14:paraId="0A6A63B4">
      <w:pPr>
        <w:pStyle w:val="668"/>
        <w:numPr>
          <w:ilvl w:val="0"/>
          <w:numId w:val="3"/>
        </w:numP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Hard prohibitions take precedence over approvals.</w:t>
      </w:r>
      <w:r/>
    </w:p>
    <w:p w14:paraId="054E050C">
      <w:pPr>
        <w:pStyle w:val="668"/>
        <w:numPr>
          <w:ilvl w:val="0"/>
          <w:numId w:val="3"/>
        </w:numP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The decision must apply to normalized arguments, not a different representation of the operation.</w:t>
      </w:r>
      <w:r/>
    </w:p>
    <w:p w14:paraId="43CE0699">
      <w:pPr>
        <w:pStyle w:val="668"/>
        <w:numPr>
          <w:ilvl w:val="0"/>
          <w:numId w:val="3"/>
        </w:numP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The result must identify the policy version used.</w:t>
      </w:r>
      <w:r/>
    </w:p>
    <w:p w14:paraId="6B38FC5B">
      <w:pPr>
        <w:pStyle w:val="668"/>
        <w:numPr>
          <w:ilvl w:val="0"/>
          <w:numId w:val="3"/>
        </w:numP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The orchestrator re-evaluates security-relevant conditions immediately before dispatch.</w:t>
      </w:r>
      <w:r/>
    </w:p>
    <w:p w14:paraId="4D7962CB">
      <w:pPr>
        <w:pStyle w:val="668"/>
        <w:numPr>
          <w:ilvl w:val="0"/>
          <w:numId w:val="3"/>
        </w:numP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If the policy engine fails or cannot resolve an essential authorization fact, the operation is not dispatched.</w:t>
      </w:r>
      <w:r/>
    </w:p>
    <w:p w14:paraId="5AD6D1F9">
      <w:pP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The policy engine does not execute tools, and the orchestrator does not independently invent risk classifications.</w:t>
      </w:r>
      <w:r/>
    </w:p>
    <w:p w14:paraId="17E14E00">
      <w:pPr>
        <w:pStyle w:val="140"/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03.24.8 Contract D — Orchestrator to Windows bridge</w:t>
      </w:r>
      <w:r/>
    </w:p>
    <w:p w14:paraId="3C9FABE3">
      <w:pP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This is the most security-sensitive integration boundary because it crosses from the shared backend to an individual Windows computer.</w:t>
      </w:r>
      <w:r/>
    </w:p>
    <w:p w14:paraId="6152F594">
      <w:pP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The bridge transport is provisionally designed around authenticated outbound polling by each bridge, as discussed in Section 03.22. Whether operations are delivered through polling or a persistent connection is still an open implementation decision. The op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eration contract should remain independent of that choice.</w:t>
      </w:r>
      <w:r/>
    </w:p>
    <w:p w14:paraId="4D669B21">
      <w:pPr>
        <w:pStyle w:val="141"/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Proposed operation envelope</w:t>
      </w:r>
      <w:r/>
    </w:p>
    <w:p w14:paraId="6EFE6285">
      <w:pP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{</w:t>
      </w:r>
      <w:r/>
    </w:p>
    <w:p w14:paraId="1BE90170">
      <w:pP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"protocol_version": 1,</w:t>
      </w:r>
      <w:r/>
    </w:p>
    <w:p w14:paraId="57225C44">
      <w:pP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"operation_id": "stable-operation-id",</w:t>
      </w:r>
      <w:r/>
    </w:p>
    <w:p w14:paraId="2EAE0DC4">
      <w:pP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"attempt_id": "delivery-attempt-id",</w:t>
      </w:r>
      <w:r/>
    </w:p>
    <w:p w14:paraId="6AD88C26">
      <w:pP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"task_id": "task-id",</w:t>
      </w:r>
      <w:r/>
    </w:p>
    <w:p w14:paraId="6292954D">
      <w:pP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"step_id": "step-id",</w:t>
      </w:r>
      <w:r/>
    </w:p>
    <w:p w14:paraId="48794580">
      <w:pP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"target_device_id": "registered-device-id",</w:t>
      </w:r>
      <w:r/>
    </w:p>
    <w:p w14:paraId="55EF69FE">
      <w:pP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"tool_name": "search_files",</w:t>
      </w:r>
      <w:r/>
    </w:p>
    <w:p w14:paraId="03A3133C">
      <w:pP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"schema_version": 1,</w:t>
      </w:r>
      <w:r/>
    </w:p>
    <w:p w14:paraId="73B2DF4B">
      <w:pP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"arguments": {</w:t>
      </w:r>
      <w:r/>
    </w:p>
    <w:p w14:paraId="48D94871">
      <w:pP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"directory_id": "project-documents",</w:t>
      </w:r>
      <w:r/>
    </w:p>
    <w:p w14:paraId="1BE73E41">
      <w:pP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"query": "design"</w:t>
      </w:r>
      <w:r/>
    </w:p>
    <w:p w14:paraId="2F0892F8">
      <w:pP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},</w:t>
      </w:r>
      <w:r/>
    </w:p>
    <w:p w14:paraId="16A3AC44">
      <w:pP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"deadline": "2030-01-01T00:00:00Z"</w:t>
      </w:r>
      <w:r/>
    </w:p>
    <w:p w14:paraId="3E7BD30F">
      <w:pP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}</w:t>
      </w:r>
      <w:r/>
    </w:p>
    <w:p w14:paraId="7B61B0A7">
      <w:pP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The deadline is illustrative. The actual contract must define how expiration is handled and how the bridge checks it.</w:t>
      </w:r>
      <w:r/>
    </w:p>
    <w:p w14:paraId="45F8DB01">
      <w:pPr>
        <w:pStyle w:val="141"/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Bridge response</w:t>
      </w:r>
      <w:r/>
    </w:p>
    <w:p w14:paraId="53F250DA">
      <w:pP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The bridge should return a structured outcome with:</w:t>
      </w:r>
      <w:r/>
    </w:p>
    <w:p w14:paraId="22B64E69">
      <w:pPr>
        <w:pStyle w:val="668"/>
        <w:numPr>
          <w:ilvl w:val="0"/>
          <w:numId w:val="3"/>
        </w:numP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The operation and attempt identifiers.</w:t>
      </w:r>
      <w:r/>
    </w:p>
    <w:p w14:paraId="78490B12">
      <w:pPr>
        <w:pStyle w:val="668"/>
        <w:numPr>
          <w:ilvl w:val="0"/>
          <w:numId w:val="3"/>
        </w:numP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The authenticated device identity.</w:t>
      </w:r>
      <w:r/>
    </w:p>
    <w:p w14:paraId="7A61A441">
      <w:pPr>
        <w:pStyle w:val="668"/>
        <w:numPr>
          <w:ilvl w:val="0"/>
          <w:numId w:val="3"/>
        </w:numP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The execution status.</w:t>
      </w:r>
      <w:r/>
    </w:p>
    <w:p w14:paraId="7BB66DF3">
      <w:pPr>
        <w:pStyle w:val="668"/>
        <w:numPr>
          <w:ilvl w:val="0"/>
          <w:numId w:val="3"/>
        </w:numP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 bounded, schema-valid result or error.</w:t>
      </w:r>
      <w:r/>
    </w:p>
    <w:p w14:paraId="74D29AEA">
      <w:pPr>
        <w:pStyle w:val="668"/>
        <w:numPr>
          <w:ilvl w:val="0"/>
          <w:numId w:val="3"/>
        </w:numP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Start and completion timestamps when available.</w:t>
      </w:r>
      <w:r/>
    </w:p>
    <w:p w14:paraId="36691E72">
      <w:pPr>
        <w:pStyle w:val="668"/>
        <w:numPr>
          <w:ilvl w:val="0"/>
          <w:numId w:val="3"/>
        </w:numP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 stable error code when execution fails.</w:t>
      </w:r>
      <w:r/>
    </w:p>
    <w:p w14:paraId="7E3C0979">
      <w:pPr>
        <w:pStyle w:val="668"/>
        <w:numPr>
          <w:ilvl w:val="0"/>
          <w:numId w:val="3"/>
        </w:numP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Enough information to distinguish a known result from an uncertain outcome.</w:t>
      </w:r>
      <w:r/>
    </w:p>
    <w:p w14:paraId="2E0EB7CC">
      <w:pPr>
        <w:pStyle w:val="141"/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Contract invariants</w:t>
      </w:r>
      <w:r/>
    </w:p>
    <w:p w14:paraId="24B5C1E9">
      <w:pPr>
        <w:pStyle w:val="668"/>
        <w:numPr>
          <w:ilvl w:val="0"/>
          <w:numId w:val="4"/>
        </w:numP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The authenticated bridge identity must match the intended target device.</w:t>
      </w:r>
      <w:r/>
    </w:p>
    <w:p w14:paraId="5F2C1479">
      <w:pPr>
        <w:pStyle w:val="668"/>
        <w:numPr>
          <w:ilvl w:val="0"/>
          <w:numId w:val="4"/>
        </w:numP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The bridge must reject unknown tools and incompatible schemas.</w:t>
      </w:r>
      <w:r/>
    </w:p>
    <w:p w14:paraId="1B62BF06">
      <w:pPr>
        <w:pStyle w:val="668"/>
        <w:numPr>
          <w:ilvl w:val="0"/>
          <w:numId w:val="4"/>
        </w:numP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The bridge must validate arguments and local permissions independently.</w:t>
      </w:r>
      <w:r/>
    </w:p>
    <w:p w14:paraId="5BBF823F">
      <w:pPr>
        <w:pStyle w:val="668"/>
        <w:numPr>
          <w:ilvl w:val="0"/>
          <w:numId w:val="4"/>
        </w:numP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Duplicate delivery of the same </w:t>
      </w:r>
      <w:r>
        <w:rPr>
          <w:rFonts w:ascii="Courier New" w:hAnsi="Courier New" w:eastAsia="Courier New" w:cs="Courier New"/>
          <w:color w:val="000000"/>
          <w:sz w:val="20"/>
        </w:rPr>
        <w:t xml:space="preserve">operation_id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must not blindly repeat a potentially destructive side effect.</w:t>
      </w:r>
      <w:r/>
    </w:p>
    <w:p w14:paraId="220ADDC5">
      <w:pPr>
        <w:pStyle w:val="668"/>
        <w:numPr>
          <w:ilvl w:val="0"/>
          <w:numId w:val="4"/>
        </w:numP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The bridge must distinguish operation execution from transport delivery.</w:t>
      </w:r>
      <w:r/>
    </w:p>
    <w:p w14:paraId="5CC1B14A">
      <w:pPr>
        <w:pStyle w:val="668"/>
        <w:numPr>
          <w:ilvl w:val="0"/>
          <w:numId w:val="4"/>
        </w:numP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 timeout must not automatically be translated into a definitive failure.</w:t>
      </w:r>
      <w:r/>
    </w:p>
    <w:p w14:paraId="4C188065">
      <w:pPr>
        <w:pStyle w:val="668"/>
        <w:numPr>
          <w:ilvl w:val="0"/>
          <w:numId w:val="4"/>
        </w:numP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The backend must verify that the response matches the operation it dispatched.</w:t>
      </w:r>
      <w:r/>
    </w:p>
    <w:p w14:paraId="5D1FFC9B">
      <w:pPr>
        <w:pStyle w:val="668"/>
        <w:numPr>
          <w:ilvl w:val="0"/>
          <w:numId w:val="4"/>
        </w:numP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Neither the bridge nor the backend may treat a client-supplied device ID as authentication.</w:t>
      </w:r>
      <w:r/>
    </w:p>
    <w:p w14:paraId="1AAA4F17">
      <w:pPr>
        <w:pStyle w:val="668"/>
        <w:numPr>
          <w:ilvl w:val="0"/>
          <w:numId w:val="4"/>
        </w:numP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The bridge must not expose a generic shell or arbitrary command endpoint.</w:t>
      </w:r>
      <w:r/>
    </w:p>
    <w:p w14:paraId="47483301">
      <w:pPr>
        <w:pStyle w:val="141"/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Operation delivery versus execution</w:t>
      </w:r>
      <w:r/>
    </w:p>
    <w:p w14:paraId="5BF9B10C">
      <w:pP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These events are different:</w:t>
      </w:r>
      <w:r/>
    </w:p>
    <w:p w14:paraId="1292A21C">
      <w:pPr>
        <w:pStyle w:val="668"/>
        <w:numPr>
          <w:ilvl w:val="0"/>
          <w:numId w:val="5"/>
        </w:numP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The backend queued an operation.</w:t>
      </w:r>
      <w:r/>
    </w:p>
    <w:p w14:paraId="12EF5186">
      <w:pPr>
        <w:pStyle w:val="668"/>
        <w:numPr>
          <w:ilvl w:val="0"/>
          <w:numId w:val="5"/>
        </w:numP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The backend delivered an operation.</w:t>
      </w:r>
      <w:r/>
    </w:p>
    <w:p w14:paraId="2598EEE8">
      <w:pPr>
        <w:pStyle w:val="668"/>
        <w:numPr>
          <w:ilvl w:val="0"/>
          <w:numId w:val="5"/>
        </w:numP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The bridge accepted an operation.</w:t>
      </w:r>
      <w:r/>
    </w:p>
    <w:p w14:paraId="4C9C82F7">
      <w:pPr>
        <w:pStyle w:val="668"/>
        <w:numPr>
          <w:ilvl w:val="0"/>
          <w:numId w:val="5"/>
        </w:numP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The bridge began execution.</w:t>
      </w:r>
      <w:r/>
    </w:p>
    <w:p w14:paraId="167914FE">
      <w:pPr>
        <w:pStyle w:val="668"/>
        <w:numPr>
          <w:ilvl w:val="0"/>
          <w:numId w:val="5"/>
        </w:numP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The operation produced a result.</w:t>
      </w:r>
      <w:r/>
    </w:p>
    <w:p w14:paraId="4A3EAC21">
      <w:pPr>
        <w:pStyle w:val="668"/>
        <w:numPr>
          <w:ilvl w:val="0"/>
          <w:numId w:val="5"/>
        </w:numP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The backend durably recorded that result.</w:t>
      </w:r>
      <w:r/>
    </w:p>
    <w:p w14:paraId="3FE4E3C7">
      <w:pP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For example, if a bridge creates a file but its response is lost, the backend cannot conclude that the file was not created. The orchestrator must reconcile the operation before retrying it.</w:t>
      </w:r>
      <w:r/>
    </w:p>
    <w:p w14:paraId="6281C22E">
      <w:pP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 stable operation ID helps identify duplicates, but it does not create a universal exactly-once execution guarantee across a database, network and Windows filesystem.</w:t>
      </w:r>
      <w:r/>
    </w:p>
    <w:p w14:paraId="2548ADF0">
      <w:pPr>
        <w:pStyle w:val="140"/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03.24.9 Contract E — Persistence and transaction boundaries</w:t>
      </w:r>
      <w:r/>
    </w:p>
    <w:p w14:paraId="3EC508F2">
      <w:pP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PostgreSQL is the authoritative store for task state, approvals, operation records and relevant audit events.</w:t>
      </w:r>
      <w:r/>
    </w:p>
    <w:p w14:paraId="28B49D66">
      <w:pP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Application services should interact with persistence through defined repositories or equivalent interfaces rather than issuing ad hoc database queries throughout the codebase.</w:t>
      </w:r>
      <w:r/>
    </w:p>
    <w:p w14:paraId="646A55E4">
      <w:pPr>
        <w:pStyle w:val="141"/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Proposed persistence responsibilities</w:t>
      </w:r>
      <w:r/>
    </w:p>
    <w:tbl>
      <w:tblPr>
        <w:tblStyle w:val="12"/>
        <w:tblInd w:w="0" w:type="dxa"/>
        <w:tblW w:w="0" w:type="auto"/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tblLayout w:type="autofit"/>
        <w:tblLook w:val="04A0" w:firstRow="1" w:lastRow="0" w:firstColumn="1" w:lastColumn="0" w:noHBand="0" w:noVBand="1"/>
      </w:tblPr>
      <w:tblGrid>
        <w:gridCol w:w="2106"/>
        <w:gridCol w:w="6919"/>
      </w:tblGrid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106" w:type="dxa"/>
            <w:vAlign w:val="center"/>
          </w:tcPr>
          <w:p w14:paraId="129B98F1">
            <w:pPr>
              <w:spacing/>
              <w:ind w:right="0" w:firstLine="0" w:left="0"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Operation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6919" w:type="dxa"/>
            <w:vAlign w:val="center"/>
          </w:tcPr>
          <w:p w14:paraId="2DFCB4DC">
            <w:pPr>
              <w:spacing/>
              <w:ind w:right="0" w:firstLine="0" w:left="0"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Required behavior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106" w:type="dxa"/>
            <w:vAlign w:val="center"/>
          </w:tcPr>
          <w:p w14:paraId="015BC441">
            <w:pP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Accept a task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6919" w:type="dxa"/>
            <w:vAlign w:val="center"/>
          </w:tcPr>
          <w:p w14:paraId="553E81E6">
            <w:pP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Persist task and idempotency information atomically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106" w:type="dxa"/>
            <w:vAlign w:val="center"/>
          </w:tcPr>
          <w:p w14:paraId="603B809A">
            <w:pP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Claim work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6919" w:type="dxa"/>
            <w:vAlign w:val="center"/>
          </w:tcPr>
          <w:p w14:paraId="3857731B">
            <w:pP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Prevent competing workers from simultaneously owning the same work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106" w:type="dxa"/>
            <w:vAlign w:val="center"/>
          </w:tcPr>
          <w:p w14:paraId="096ADDDB">
            <w:pP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Request approval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6919" w:type="dxa"/>
            <w:vAlign w:val="center"/>
          </w:tcPr>
          <w:p w14:paraId="64E2333A">
            <w:pP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Persist the approval request and associated operation binding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106" w:type="dxa"/>
            <w:vAlign w:val="center"/>
          </w:tcPr>
          <w:p w14:paraId="0E8B6EBB">
            <w:pP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Record a decision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6919" w:type="dxa"/>
            <w:vAlign w:val="center"/>
          </w:tcPr>
          <w:p w14:paraId="55443662">
            <w:pP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Enforce decision validity and prevent conflicting duplicate decisions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106" w:type="dxa"/>
            <w:vAlign w:val="center"/>
          </w:tcPr>
          <w:p w14:paraId="34E23EAE">
            <w:pP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Dispatch an operation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6919" w:type="dxa"/>
            <w:vAlign w:val="center"/>
          </w:tcPr>
          <w:p w14:paraId="0AF4195D">
            <w:pP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Persist the intent before external dispatch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106" w:type="dxa"/>
            <w:vAlign w:val="center"/>
          </w:tcPr>
          <w:p w14:paraId="6A7BC3BC">
            <w:pP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Record an outcome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6919" w:type="dxa"/>
            <w:vAlign w:val="center"/>
          </w:tcPr>
          <w:p w14:paraId="0EDB49BC">
            <w:pP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Validate operation identity and current ownership of the work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106" w:type="dxa"/>
            <w:vAlign w:val="center"/>
          </w:tcPr>
          <w:p w14:paraId="7198F4C1">
            <w:pP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Recover after restart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6919" w:type="dxa"/>
            <w:vAlign w:val="center"/>
          </w:tcPr>
          <w:p w14:paraId="1958159D">
            <w:pP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Load nonterminal tasks and reconcile uncertain external effects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106" w:type="dxa"/>
            <w:vAlign w:val="center"/>
          </w:tcPr>
          <w:p w14:paraId="16C3B8A7">
            <w:pP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Write an audit event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6919" w:type="dxa"/>
            <w:vAlign w:val="center"/>
          </w:tcPr>
          <w:p w14:paraId="3E16C77E">
            <w:pP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Persist the required event under the defined audit durability policy</w:t>
            </w:r>
            <w:r/>
          </w:p>
        </w:tc>
      </w:tr>
    </w:tbl>
    <w:p w14:paraId="4FFCE7CC">
      <w:pPr>
        <w:pStyle w:val="141"/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Transaction rules</w:t>
      </w:r>
      <w:r/>
    </w:p>
    <w:p w14:paraId="232F12A5">
      <w:pPr>
        <w:pStyle w:val="668"/>
        <w:numPr>
          <w:ilvl w:val="0"/>
          <w:numId w:val="5"/>
        </w:numP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Use short transactions for state transitions and claims.</w:t>
      </w:r>
      <w:r/>
    </w:p>
    <w:p w14:paraId="56C80474">
      <w:pPr>
        <w:pStyle w:val="668"/>
        <w:numPr>
          <w:ilvl w:val="0"/>
          <w:numId w:val="5"/>
        </w:numP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Do not hold a database transaction open while waiting for a model response or remote Windows operation.</w:t>
      </w:r>
      <w:r/>
    </w:p>
    <w:p w14:paraId="18EAA4DA">
      <w:pPr>
        <w:pStyle w:val="668"/>
        <w:numPr>
          <w:ilvl w:val="0"/>
          <w:numId w:val="5"/>
        </w:numP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Enforce uniqueness and ownership invariants with database constraints where appropriate.</w:t>
      </w:r>
      <w:r/>
    </w:p>
    <w:p w14:paraId="3D743AE6">
      <w:pPr>
        <w:pStyle w:val="668"/>
        <w:numPr>
          <w:ilvl w:val="0"/>
          <w:numId w:val="5"/>
        </w:numP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Use transactions to keep related database updates consistent.</w:t>
      </w:r>
      <w:r/>
    </w:p>
    <w:p w14:paraId="3D2C8131">
      <w:pPr>
        <w:pStyle w:val="668"/>
        <w:numPr>
          <w:ilvl w:val="0"/>
          <w:numId w:val="5"/>
        </w:numP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Do not claim that a database rollback reverses an already executed Windows action.</w:t>
      </w:r>
      <w:r/>
    </w:p>
    <w:p w14:paraId="2BCEE657">
      <w:pPr>
        <w:pStyle w:val="668"/>
        <w:numPr>
          <w:ilvl w:val="0"/>
          <w:numId w:val="5"/>
        </w:numP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Prevent stale workers from overwriting newer results using an appropriate claim-generation or fencing mechanism.</w:t>
      </w:r>
      <w:r/>
    </w:p>
    <w:p w14:paraId="7BE9E7DA">
      <w:pP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The exact repository interfaces, SQLAlchemy session pattern, isolation level and worker-claim implementation remain design decisions. They should be selected and tested against the required concurrency behavior rather than assumed in advance.</w:t>
      </w:r>
      <w:r/>
    </w:p>
    <w:p w14:paraId="4128AB22">
      <w:pPr>
        <w:pStyle w:val="140"/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03.24.10 Contract F — Task lifecycle events</w:t>
      </w:r>
      <w:r/>
    </w:p>
    <w:p w14:paraId="77326F9B">
      <w:pP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NEXUS needs consistent internal events so that components agree on what happened and when.</w:t>
      </w:r>
      <w:r/>
    </w:p>
    <w:p w14:paraId="78EC449D">
      <w:pP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Proposed event envelope:</w:t>
      </w:r>
      <w:r/>
    </w:p>
    <w:p w14:paraId="4A8A7C8A">
      <w:pP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{</w:t>
      </w:r>
      <w:r/>
    </w:p>
    <w:p w14:paraId="1BD9A853">
      <w:pP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"event_id": "event-id",</w:t>
      </w:r>
      <w:r/>
    </w:p>
    <w:p w14:paraId="38F4CDD3">
      <w:pP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"event_type": "task.step.dispatched",</w:t>
      </w:r>
      <w:r/>
    </w:p>
    <w:p w14:paraId="10959B67">
      <w:pP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"schema_version": 1,</w:t>
      </w:r>
      <w:r/>
    </w:p>
    <w:p w14:paraId="30038F30">
      <w:pP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"task_id": "task-id",</w:t>
      </w:r>
      <w:r/>
    </w:p>
    <w:p w14:paraId="3AC85334">
      <w:pP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"step_id": "step-id",</w:t>
      </w:r>
      <w:r/>
    </w:p>
    <w:p w14:paraId="34C91A7C">
      <w:pP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"operation_id": "operation-id",</w:t>
      </w:r>
      <w:r/>
    </w:p>
    <w:p w14:paraId="3548E076">
      <w:pP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"occurred_at": "2030-01-01T00:00:00Z",</w:t>
      </w:r>
      <w:r/>
    </w:p>
    <w:p w14:paraId="161AFA2F">
      <w:pP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"correlation_id": "request-or-workflow-id"</w:t>
      </w:r>
      <w:r/>
    </w:p>
    <w:p w14:paraId="363B4F2A">
      <w:pP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}</w:t>
      </w:r>
      <w:r/>
    </w:p>
    <w:p w14:paraId="4627CECC">
      <w:pP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This is an illustrative envelope. Event names and payloads will be finalized alongside the state machine.</w:t>
      </w:r>
      <w:r/>
    </w:p>
    <w:p w14:paraId="40819961">
      <w:pPr>
        <w:pStyle w:val="141"/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Initial event categories</w:t>
      </w:r>
      <w:r/>
    </w:p>
    <w:tbl>
      <w:tblPr>
        <w:tblStyle w:val="12"/>
        <w:tblInd w:w="0" w:type="dxa"/>
        <w:tblW w:w="0" w:type="auto"/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tblLayout w:type="autofit"/>
        <w:tblLook w:val="04A0" w:firstRow="1" w:lastRow="0" w:firstColumn="1" w:lastColumn="0" w:noHBand="0" w:noVBand="1"/>
      </w:tblPr>
      <w:tblGrid>
        <w:gridCol w:w="1336"/>
        <w:gridCol w:w="5872"/>
      </w:tblGrid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336" w:type="dxa"/>
            <w:vAlign w:val="center"/>
          </w:tcPr>
          <w:p w14:paraId="062938A9">
            <w:pPr>
              <w:spacing/>
              <w:ind w:right="0" w:firstLine="0" w:left="0"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Category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5872" w:type="dxa"/>
            <w:vAlign w:val="center"/>
          </w:tcPr>
          <w:p w14:paraId="251A9CFD">
            <w:pPr>
              <w:spacing/>
              <w:ind w:right="0" w:firstLine="0" w:left="0"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Example events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336" w:type="dxa"/>
            <w:vAlign w:val="center"/>
          </w:tcPr>
          <w:p w14:paraId="07D10085">
            <w:pP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Task lifecycle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5872" w:type="dxa"/>
            <w:vAlign w:val="center"/>
          </w:tcPr>
          <w:p w14:paraId="5940A1DB">
            <w:pP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Task accepted, started, completed, failed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336" w:type="dxa"/>
            <w:vAlign w:val="center"/>
          </w:tcPr>
          <w:p w14:paraId="1E4E2659">
            <w:pP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Step lifecycle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5872" w:type="dxa"/>
            <w:vAlign w:val="center"/>
          </w:tcPr>
          <w:p w14:paraId="32E46E70">
            <w:pP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Step prepared, dispatched, succeeded, failed, uncertain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336" w:type="dxa"/>
            <w:vAlign w:val="center"/>
          </w:tcPr>
          <w:p w14:paraId="0DF1B3FB">
            <w:pP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Approval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5872" w:type="dxa"/>
            <w:vAlign w:val="center"/>
          </w:tcPr>
          <w:p w14:paraId="2AA3080F">
            <w:pP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Approval requested, approved, rejected, expired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336" w:type="dxa"/>
            <w:vAlign w:val="center"/>
          </w:tcPr>
          <w:p w14:paraId="540A2C43">
            <w:pP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Device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5872" w:type="dxa"/>
            <w:vAlign w:val="center"/>
          </w:tcPr>
          <w:p w14:paraId="5B344113">
            <w:pP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Device connected, disconnected, revoked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336" w:type="dxa"/>
            <w:vAlign w:val="center"/>
          </w:tcPr>
          <w:p w14:paraId="21E6DE38">
            <w:pP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Recovery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5872" w:type="dxa"/>
            <w:vAlign w:val="center"/>
          </w:tcPr>
          <w:p w14:paraId="6399246A">
            <w:pP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Reconciliation started, outcome confirmed, recovery blocked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336" w:type="dxa"/>
            <w:vAlign w:val="center"/>
          </w:tcPr>
          <w:p w14:paraId="36C605A3">
            <w:pP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Policy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5872" w:type="dxa"/>
            <w:vAlign w:val="center"/>
          </w:tcPr>
          <w:p w14:paraId="3030941F">
            <w:pP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Operation allowed, denied or held for approval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336" w:type="dxa"/>
            <w:vAlign w:val="center"/>
          </w:tcPr>
          <w:p w14:paraId="3F11F62A">
            <w:pP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System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5872" w:type="dxa"/>
            <w:vAlign w:val="center"/>
          </w:tcPr>
          <w:p w14:paraId="4D3BDA37">
            <w:pP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Model unavailable, database unavailable, worker restarted</w:t>
            </w:r>
            <w:r/>
          </w:p>
        </w:tc>
      </w:tr>
    </w:tbl>
    <w:p w14:paraId="0CD0AB50">
      <w:pPr>
        <w:pStyle w:val="141"/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Event-handling rules</w:t>
      </w:r>
      <w:r/>
    </w:p>
    <w:p w14:paraId="38880CF2">
      <w:pPr>
        <w:pStyle w:val="668"/>
        <w:numPr>
          <w:ilvl w:val="0"/>
          <w:numId w:val="5"/>
        </w:numP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Events describe facts; they do not independently grant permissions.</w:t>
      </w:r>
      <w:r/>
    </w:p>
    <w:p w14:paraId="5F1BC4D6">
      <w:pPr>
        <w:pStyle w:val="668"/>
        <w:numPr>
          <w:ilvl w:val="0"/>
          <w:numId w:val="5"/>
        </w:numP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State-changing events must be checked against legal task and step transitions.</w:t>
      </w:r>
      <w:r/>
    </w:p>
    <w:p w14:paraId="066CD9C3">
      <w:pPr>
        <w:pStyle w:val="668"/>
        <w:numPr>
          <w:ilvl w:val="0"/>
          <w:numId w:val="5"/>
        </w:numP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Duplicate event delivery must be handled safely where retries are possible.</w:t>
      </w:r>
      <w:r/>
    </w:p>
    <w:p w14:paraId="5A631A06">
      <w:pPr>
        <w:pStyle w:val="668"/>
        <w:numPr>
          <w:ilvl w:val="0"/>
          <w:numId w:val="5"/>
        </w:numP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Event ordering must not be assumed across independent components unless the implementation explicitly guarantees it.</w:t>
      </w:r>
      <w:r/>
    </w:p>
    <w:p w14:paraId="495DB22A">
      <w:pPr>
        <w:pStyle w:val="668"/>
        <w:numPr>
          <w:ilvl w:val="0"/>
          <w:numId w:val="5"/>
        </w:numP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Timestamps alone are not sufficient to establish ordering in every concurrent scenario.</w:t>
      </w:r>
      <w:r/>
    </w:p>
    <w:p w14:paraId="7B9C0BD1">
      <w:pPr>
        <w:pStyle w:val="668"/>
        <w:numPr>
          <w:ilvl w:val="0"/>
          <w:numId w:val="5"/>
        </w:numP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Private document contents, credentials and unrestricted prompts should not be included in event payloads by default.</w:t>
      </w:r>
      <w:r/>
    </w:p>
    <w:p w14:paraId="2490BD2C">
      <w:pP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For the initial modular monolith, internal service calls and durable database records may be sufficient. A separate message broker is not required merely to implement an event vocabulary.</w:t>
      </w:r>
      <w:r/>
    </w:p>
    <w:p w14:paraId="1DB36585">
      <w:pP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If the system later needs reliable asynchronous event publication, a transactional outbox is a candidate solution so database changes and event publication can be reconciled without pretending they are one atomic operation.</w:t>
      </w:r>
      <w:r/>
    </w:p>
    <w:p w14:paraId="2BFF0625">
      <w:pPr>
        <w:pStyle w:val="140"/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03.24.11 Standard error contract</w:t>
      </w:r>
      <w:r/>
    </w:p>
    <w:p w14:paraId="642745A4">
      <w:pP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Every boundary must return errors that the receiving component can interpret consistently.</w:t>
      </w:r>
      <w:r/>
    </w:p>
    <w:p w14:paraId="283326CF">
      <w:pP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Proposed public API error:</w:t>
      </w:r>
      <w:r/>
    </w:p>
    <w:p w14:paraId="3904CCEA">
      <w:pP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{</w:t>
      </w:r>
      <w:r/>
    </w:p>
    <w:p w14:paraId="161F1C0E">
      <w:pP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"error": {</w:t>
      </w:r>
      <w:r/>
    </w:p>
    <w:p w14:paraId="40F9C0DF">
      <w:pP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"code": "DEVICE_UNAVAILABLE",</w:t>
      </w:r>
      <w:r/>
    </w:p>
    <w:p w14:paraId="5E989210">
      <w:pP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"message": "The selected computer is currently unavailable.",</w:t>
      </w:r>
      <w:r/>
    </w:p>
    <w:p w14:paraId="419A17BF">
      <w:pP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"retryable": true</w:t>
      </w:r>
      <w:r/>
    </w:p>
    <w:p w14:paraId="5424E896">
      <w:pP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},</w:t>
      </w:r>
      <w:r/>
    </w:p>
    <w:p w14:paraId="6BDC78FC">
      <w:pP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"request_id": "request-id"</w:t>
      </w:r>
      <w:r/>
    </w:p>
    <w:p w14:paraId="2ABC4C2A">
      <w:pP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}</w:t>
      </w:r>
      <w:r/>
    </w:p>
    <w:p w14:paraId="7455086A">
      <w:pP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The message is user-facing. The error code is the stable machine-readable contract. The example does not guarantee that retrying immediately is safe; retry safety depends on the operation and its current execution state.</w:t>
      </w:r>
      <w:r/>
    </w:p>
    <w:p w14:paraId="349ADFD4">
      <w:pPr>
        <w:pStyle w:val="141"/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Proposed error categories</w:t>
      </w:r>
      <w:r/>
    </w:p>
    <w:tbl>
      <w:tblPr>
        <w:tblStyle w:val="12"/>
        <w:tblInd w:w="0" w:type="dxa"/>
        <w:tblW w:w="0" w:type="auto"/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tblLayout w:type="autofit"/>
        <w:tblLook w:val="04A0" w:firstRow="1" w:lastRow="0" w:firstColumn="1" w:lastColumn="0" w:noHBand="0" w:noVBand="1"/>
      </w:tblPr>
      <w:tblGrid>
        <w:gridCol w:w="1578"/>
        <w:gridCol w:w="2243"/>
        <w:gridCol w:w="5533"/>
      </w:tblGrid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578" w:type="dxa"/>
            <w:vAlign w:val="center"/>
          </w:tcPr>
          <w:p w14:paraId="6CBF31D8">
            <w:pPr>
              <w:spacing/>
              <w:ind w:right="0" w:firstLine="0" w:left="0"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Category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243" w:type="dxa"/>
            <w:vAlign w:val="center"/>
          </w:tcPr>
          <w:p w14:paraId="0F52CEEA">
            <w:pPr>
              <w:spacing/>
              <w:ind w:right="0" w:firstLine="0" w:left="0"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Example code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5533" w:type="dxa"/>
            <w:vAlign w:val="center"/>
          </w:tcPr>
          <w:p w14:paraId="07DE431A">
            <w:pPr>
              <w:spacing/>
              <w:ind w:right="0" w:firstLine="0" w:left="0"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Handling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578" w:type="dxa"/>
            <w:vAlign w:val="center"/>
          </w:tcPr>
          <w:p w14:paraId="26C36EFC">
            <w:pP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Invalid request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243" w:type="dxa"/>
            <w:vAlign w:val="center"/>
          </w:tcPr>
          <w:p w14:paraId="6F6D1F56">
            <w:pPr>
              <w:spacing/>
              <w:ind w:right="0" w:firstLine="0" w:left="0"/>
              <w:rPr/>
            </w:pPr>
            <w:r>
              <w:rPr>
                <w:rFonts w:ascii="Courier New" w:hAnsi="Courier New" w:eastAsia="Courier New" w:cs="Courier New"/>
                <w:color w:val="000000"/>
                <w:sz w:val="20"/>
              </w:rPr>
              <w:t xml:space="preserve">INVALID_ARGUMENT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5533" w:type="dxa"/>
            <w:vAlign w:val="center"/>
          </w:tcPr>
          <w:p w14:paraId="4332BB20">
            <w:pP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Correct the request; do not retry unchanged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578" w:type="dxa"/>
            <w:vAlign w:val="center"/>
          </w:tcPr>
          <w:p w14:paraId="2D3F79BF">
            <w:pP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Authentication failure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243" w:type="dxa"/>
            <w:vAlign w:val="center"/>
          </w:tcPr>
          <w:p w14:paraId="60071626">
            <w:pPr>
              <w:spacing/>
              <w:ind w:right="0" w:firstLine="0" w:left="0"/>
              <w:rPr/>
            </w:pPr>
            <w:r>
              <w:rPr>
                <w:rFonts w:ascii="Courier New" w:hAnsi="Courier New" w:eastAsia="Courier New" w:cs="Courier New"/>
                <w:color w:val="000000"/>
                <w:sz w:val="20"/>
              </w:rPr>
              <w:t xml:space="preserve">AUTHENTICATION_REQUIRED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5533" w:type="dxa"/>
            <w:vAlign w:val="center"/>
          </w:tcPr>
          <w:p w14:paraId="49D7FB12">
            <w:pP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Reauthenticate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578" w:type="dxa"/>
            <w:vAlign w:val="center"/>
          </w:tcPr>
          <w:p w14:paraId="1C02BB61">
            <w:pP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Authorization failure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243" w:type="dxa"/>
            <w:vAlign w:val="center"/>
          </w:tcPr>
          <w:p w14:paraId="420DF35B">
            <w:pPr>
              <w:spacing/>
              <w:ind w:right="0" w:firstLine="0" w:left="0"/>
              <w:rPr/>
            </w:pPr>
            <w:r>
              <w:rPr>
                <w:rFonts w:ascii="Courier New" w:hAnsi="Courier New" w:eastAsia="Courier New" w:cs="Courier New"/>
                <w:color w:val="000000"/>
                <w:sz w:val="20"/>
              </w:rPr>
              <w:t xml:space="preserve">ACCESS_DENIED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5533" w:type="dxa"/>
            <w:vAlign w:val="center"/>
          </w:tcPr>
          <w:p w14:paraId="3156251C">
            <w:pP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Do not retry without a legitimate permission change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578" w:type="dxa"/>
            <w:vAlign w:val="center"/>
          </w:tcPr>
          <w:p w14:paraId="76A1C00D">
            <w:pP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Policy restriction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243" w:type="dxa"/>
            <w:vAlign w:val="center"/>
          </w:tcPr>
          <w:p w14:paraId="72FE9BA3">
            <w:pPr>
              <w:spacing/>
              <w:ind w:right="0" w:firstLine="0" w:left="0"/>
              <w:rPr/>
            </w:pPr>
            <w:r>
              <w:rPr>
                <w:rFonts w:ascii="Courier New" w:hAnsi="Courier New" w:eastAsia="Courier New" w:cs="Courier New"/>
                <w:color w:val="000000"/>
                <w:sz w:val="20"/>
              </w:rPr>
              <w:t xml:space="preserve">POLICY_DENIED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5533" w:type="dxa"/>
            <w:vAlign w:val="center"/>
          </w:tcPr>
          <w:p w14:paraId="0032CD96">
            <w:pP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Explain the restriction safely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578" w:type="dxa"/>
            <w:vAlign w:val="center"/>
          </w:tcPr>
          <w:p w14:paraId="770E37C9">
            <w:pP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Approval required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243" w:type="dxa"/>
            <w:vAlign w:val="center"/>
          </w:tcPr>
          <w:p w14:paraId="3B9EE85C">
            <w:pPr>
              <w:spacing/>
              <w:ind w:right="0" w:firstLine="0" w:left="0"/>
              <w:rPr/>
            </w:pPr>
            <w:r>
              <w:rPr>
                <w:rFonts w:ascii="Courier New" w:hAnsi="Courier New" w:eastAsia="Courier New" w:cs="Courier New"/>
                <w:color w:val="000000"/>
                <w:sz w:val="20"/>
              </w:rPr>
              <w:t xml:space="preserve">APPROVAL_REQUIRED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5533" w:type="dxa"/>
            <w:vAlign w:val="center"/>
          </w:tcPr>
          <w:p w14:paraId="7AE68A2A">
            <w:pP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Wait for the appropriate decision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578" w:type="dxa"/>
            <w:vAlign w:val="center"/>
          </w:tcPr>
          <w:p w14:paraId="1D25C498">
            <w:pP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Device unavailable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243" w:type="dxa"/>
            <w:vAlign w:val="center"/>
          </w:tcPr>
          <w:p w14:paraId="07E041E2">
            <w:pPr>
              <w:spacing/>
              <w:ind w:right="0" w:firstLine="0" w:left="0"/>
              <w:rPr/>
            </w:pPr>
            <w:r>
              <w:rPr>
                <w:rFonts w:ascii="Courier New" w:hAnsi="Courier New" w:eastAsia="Courier New" w:cs="Courier New"/>
                <w:color w:val="000000"/>
                <w:sz w:val="20"/>
              </w:rPr>
              <w:t xml:space="preserve">DEVICE_UNAVAILABLE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5533" w:type="dxa"/>
            <w:vAlign w:val="center"/>
          </w:tcPr>
          <w:p w14:paraId="3A96A53C">
            <w:pP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Wait for reconnection; preserve task state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578" w:type="dxa"/>
            <w:vAlign w:val="center"/>
          </w:tcPr>
          <w:p w14:paraId="57A9A84C">
            <w:pP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Dependency failure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243" w:type="dxa"/>
            <w:vAlign w:val="center"/>
          </w:tcPr>
          <w:p w14:paraId="6C9B5D05">
            <w:pPr>
              <w:spacing/>
              <w:ind w:right="0" w:firstLine="0" w:left="0"/>
              <w:rPr/>
            </w:pPr>
            <w:r>
              <w:rPr>
                <w:rFonts w:ascii="Courier New" w:hAnsi="Courier New" w:eastAsia="Courier New" w:cs="Courier New"/>
                <w:color w:val="000000"/>
                <w:sz w:val="20"/>
              </w:rPr>
              <w:t xml:space="preserve">DEPENDENCY_UNAVAILABLE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5533" w:type="dxa"/>
            <w:vAlign w:val="center"/>
          </w:tcPr>
          <w:p w14:paraId="56AFA808">
            <w:pP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Apply bounded retry rules where safe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578" w:type="dxa"/>
            <w:vAlign w:val="center"/>
          </w:tcPr>
          <w:p w14:paraId="71E3399B">
            <w:pP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Operation timeout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243" w:type="dxa"/>
            <w:vAlign w:val="center"/>
          </w:tcPr>
          <w:p w14:paraId="67B53572">
            <w:pPr>
              <w:spacing/>
              <w:ind w:right="0" w:firstLine="0" w:left="0"/>
              <w:rPr/>
            </w:pPr>
            <w:r>
              <w:rPr>
                <w:rFonts w:ascii="Courier New" w:hAnsi="Courier New" w:eastAsia="Courier New" w:cs="Courier New"/>
                <w:color w:val="000000"/>
                <w:sz w:val="20"/>
              </w:rPr>
              <w:t xml:space="preserve">OPERATION_TIMEOUT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5533" w:type="dxa"/>
            <w:vAlign w:val="center"/>
          </w:tcPr>
          <w:p w14:paraId="7DA6DE2B">
            <w:pP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Determine whether the external effect occurred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578" w:type="dxa"/>
            <w:vAlign w:val="center"/>
          </w:tcPr>
          <w:p w14:paraId="584F2318">
            <w:pP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Uncertain outcome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243" w:type="dxa"/>
            <w:vAlign w:val="center"/>
          </w:tcPr>
          <w:p w14:paraId="3EE6E5B7">
            <w:pPr>
              <w:spacing/>
              <w:ind w:right="0" w:firstLine="0" w:left="0"/>
              <w:rPr/>
            </w:pPr>
            <w:r>
              <w:rPr>
                <w:rFonts w:ascii="Courier New" w:hAnsi="Courier New" w:eastAsia="Courier New" w:cs="Courier New"/>
                <w:color w:val="000000"/>
                <w:sz w:val="20"/>
              </w:rPr>
              <w:t xml:space="preserve">OPERATION_OUTCOME_UNCERTAIN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5533" w:type="dxa"/>
            <w:vAlign w:val="center"/>
          </w:tcPr>
          <w:p w14:paraId="4BE3B143">
            <w:pP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Reconcile before any unsafe retry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578" w:type="dxa"/>
            <w:vAlign w:val="center"/>
          </w:tcPr>
          <w:p w14:paraId="23C45629">
            <w:pP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Contract mismatch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243" w:type="dxa"/>
            <w:vAlign w:val="center"/>
          </w:tcPr>
          <w:p w14:paraId="7CB321B2">
            <w:pPr>
              <w:spacing/>
              <w:ind w:right="0" w:firstLine="0" w:left="0"/>
              <w:rPr/>
            </w:pPr>
            <w:r>
              <w:rPr>
                <w:rFonts w:ascii="Courier New" w:hAnsi="Courier New" w:eastAsia="Courier New" w:cs="Courier New"/>
                <w:color w:val="000000"/>
                <w:sz w:val="20"/>
              </w:rPr>
              <w:t xml:space="preserve">CONTRACT_VERSION_UNSUPPORTED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5533" w:type="dxa"/>
            <w:vAlign w:val="center"/>
          </w:tcPr>
          <w:p w14:paraId="22588928">
            <w:pP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Block incompatible execution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578" w:type="dxa"/>
            <w:vAlign w:val="center"/>
          </w:tcPr>
          <w:p w14:paraId="44885D07">
            <w:pP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Internal failure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243" w:type="dxa"/>
            <w:vAlign w:val="center"/>
          </w:tcPr>
          <w:p w14:paraId="472E10E9">
            <w:pPr>
              <w:spacing/>
              <w:ind w:right="0" w:firstLine="0" w:left="0"/>
              <w:rPr/>
            </w:pPr>
            <w:r>
              <w:rPr>
                <w:rFonts w:ascii="Courier New" w:hAnsi="Courier New" w:eastAsia="Courier New" w:cs="Courier New"/>
                <w:color w:val="000000"/>
                <w:sz w:val="20"/>
              </w:rPr>
              <w:t xml:space="preserve">INTERNAL_ERROR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5533" w:type="dxa"/>
            <w:vAlign w:val="center"/>
          </w:tcPr>
          <w:p w14:paraId="1A2F212D">
            <w:pP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Return a correlation ID; keep implementation details in protected diagnostics</w:t>
            </w:r>
            <w:r/>
          </w:p>
        </w:tc>
      </w:tr>
    </w:tbl>
    <w:p w14:paraId="67F0656C">
      <w:pP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 single global </w:t>
      </w:r>
      <w:r>
        <w:rPr>
          <w:rFonts w:ascii="Courier New" w:hAnsi="Courier New" w:eastAsia="Courier New" w:cs="Courier New"/>
          <w:color w:val="000000"/>
          <w:sz w:val="20"/>
        </w:rPr>
        <w:t xml:space="preserve">retryable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boolean is not enough to authorize retries of external operations. The orchestrator must combine the error category with the tool's declared retry policy, operation history and known execution state.</w:t>
      </w:r>
      <w:r/>
    </w:p>
    <w:p w14:paraId="13C988DC">
      <w:pPr>
        <w:pStyle w:val="140"/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03.24.12 Contract versioning and compatibility</w:t>
      </w:r>
      <w:r/>
    </w:p>
    <w:p w14:paraId="3AB5749D">
      <w:pP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NEXUS has several interfaces that evolve at different rates. API compatibility and bridge compatibility must therefore be handled separately.</w:t>
      </w:r>
      <w:r/>
    </w:p>
    <w:p w14:paraId="0E996B4F">
      <w:pPr>
        <w:pStyle w:val="141"/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Proposed rules</w:t>
      </w:r>
      <w:r/>
    </w:p>
    <w:p w14:paraId="582DF9D8">
      <w:pPr>
        <w:pStyle w:val="668"/>
        <w:numPr>
          <w:ilvl w:val="0"/>
          <w:numId w:val="5"/>
        </w:numP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The public API uses the existing </w:t>
      </w:r>
      <w:r>
        <w:rPr>
          <w:rFonts w:ascii="Courier New" w:hAnsi="Courier New" w:eastAsia="Courier New" w:cs="Courier New"/>
          <w:color w:val="000000"/>
          <w:sz w:val="20"/>
        </w:rPr>
        <w:t xml:space="preserve">/v1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version prefix.</w:t>
      </w:r>
      <w:r/>
    </w:p>
    <w:p w14:paraId="11AD078E">
      <w:pPr>
        <w:pStyle w:val="668"/>
        <w:numPr>
          <w:ilvl w:val="0"/>
          <w:numId w:val="5"/>
        </w:numP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Bridge messages include a protocol version.</w:t>
      </w:r>
      <w:r/>
    </w:p>
    <w:p w14:paraId="0FD5DC8C">
      <w:pPr>
        <w:pStyle w:val="668"/>
        <w:numPr>
          <w:ilvl w:val="0"/>
          <w:numId w:val="5"/>
        </w:numP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Tool arguments and results use a tool-specific schema version.</w:t>
      </w:r>
      <w:r/>
    </w:p>
    <w:p w14:paraId="497850AE">
      <w:pPr>
        <w:pStyle w:val="668"/>
        <w:numPr>
          <w:ilvl w:val="0"/>
          <w:numId w:val="5"/>
        </w:numP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Internal events use an event schema version where persisted or exchanged across independently deployed components.</w:t>
      </w:r>
      <w:r/>
    </w:p>
    <w:p w14:paraId="7DC73676">
      <w:pPr>
        <w:pStyle w:val="668"/>
        <w:numPr>
          <w:ilvl w:val="0"/>
          <w:numId w:val="5"/>
        </w:numP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Compatible changes should preserve existing semantics.</w:t>
      </w:r>
      <w:r/>
    </w:p>
    <w:p w14:paraId="1A4F7D7D">
      <w:pPr>
        <w:pStyle w:val="668"/>
        <w:numPr>
          <w:ilvl w:val="0"/>
          <w:numId w:val="5"/>
        </w:numP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Renaming or removing required fields, changing state meanings, or weakening security behavior requires a controlled migration.</w:t>
      </w:r>
      <w:r/>
    </w:p>
    <w:p w14:paraId="6381BC2E">
      <w:pPr>
        <w:pStyle w:val="668"/>
        <w:numPr>
          <w:ilvl w:val="0"/>
          <w:numId w:val="5"/>
        </w:numP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An unknown security-sensitive field or version must not be interpreted permissively.</w:t>
      </w:r>
      <w:r/>
    </w:p>
    <w:p w14:paraId="243DD5BB">
      <w:pPr>
        <w:pStyle w:val="668"/>
        <w:numPr>
          <w:ilvl w:val="0"/>
          <w:numId w:val="5"/>
        </w:numP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Backend and bridge compatibility must be checked before dispatch.</w:t>
      </w:r>
      <w:r/>
    </w:p>
    <w:p w14:paraId="72BB976A">
      <w:pPr>
        <w:pStyle w:val="668"/>
        <w:numPr>
          <w:ilvl w:val="0"/>
          <w:numId w:val="5"/>
        </w:numP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Schema migrations must not silently reinterpret old pending operations as safe to execute.</w:t>
      </w:r>
      <w:r/>
    </w:p>
    <w:p w14:paraId="22B4CDE8">
      <w:pP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During a rolling update, a bridge that cannot understand an operation must reject it safely. NEXUS should not downgrade security checks simply to maintain compatibility.</w:t>
      </w:r>
      <w:r/>
    </w:p>
    <w:p w14:paraId="508B3101">
      <w:pP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Open decision: whether the first release needs simultaneous support for multiple bridge protocol versions. For a small, controlled three-developer deployment, one active version may be sufficient, provided upgrades and recovery are documented.</w:t>
      </w:r>
      <w:r/>
    </w:p>
    <w:p w14:paraId="27E5B4AB">
      <w:pPr>
        <w:pStyle w:val="140"/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03.24.13 Contract testing and integration ownership</w:t>
      </w:r>
      <w:r/>
    </w:p>
    <w:p w14:paraId="562D7742">
      <w:pP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Every contract should have tests that verify both valid behavior and rejection behavior.</w:t>
      </w:r>
      <w:r/>
    </w:p>
    <w:p w14:paraId="0EF623FE">
      <w:pP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Schema and validation tests</w:t>
      </w:r>
      <w:r/>
    </w:p>
    <w:p w14:paraId="1929D183">
      <w:pP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Verify required fields, types, bounds, unknown-field policy, malformed JSON and incompatible versions.</w:t>
      </w:r>
      <w:r/>
    </w:p>
    <w:p w14:paraId="0BEC1F38">
      <w:pP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Authorization and security tests</w:t>
      </w:r>
      <w:r/>
    </w:p>
    <w:p w14:paraId="1169B507">
      <w:pP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Verify user and device isolation, revoked credentials, approval binding, invalid tool names and locally prohibited paths.</w:t>
      </w:r>
      <w:r/>
    </w:p>
    <w:p w14:paraId="68B3D3E4">
      <w:pP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Reliability tests</w:t>
      </w:r>
      <w:r/>
    </w:p>
    <w:p w14:paraId="7BB66B04">
      <w:pP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Verify duplicate submissions, duplicate operation delivery, lost responses, stale workers, cancellation races and restart recovery.</w:t>
      </w:r>
      <w:r/>
    </w:p>
    <w:p w14:paraId="5BA4EE91">
      <w:pP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End-to-end integration tests</w:t>
      </w:r>
      <w:r/>
    </w:p>
    <w:p w14:paraId="31B94423">
      <w:pP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Verify the complete flow from CLI request through planning, authorization, bridge execution, persisted result and CLI reporting.</w:t>
      </w:r>
      <w:r/>
    </w:p>
    <w:p w14:paraId="40A49D55">
      <w:pPr>
        <w:pStyle w:val="141"/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Proposed ownership</w:t>
      </w:r>
      <w:r/>
    </w:p>
    <w:tbl>
      <w:tblPr>
        <w:tblStyle w:val="12"/>
        <w:tblInd w:w="0" w:type="dxa"/>
        <w:tblW w:w="0" w:type="auto"/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tblLayout w:type="autofit"/>
        <w:tblLook w:val="04A0" w:firstRow="1" w:lastRow="0" w:firstColumn="1" w:lastColumn="0" w:noHBand="0" w:noVBand="1"/>
      </w:tblPr>
      <w:tblGrid>
        <w:gridCol w:w="2609"/>
        <w:gridCol w:w="6745"/>
      </w:tblGrid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609" w:type="dxa"/>
            <w:vAlign w:val="center"/>
          </w:tcPr>
          <w:p w14:paraId="3D385400">
            <w:pPr>
              <w:spacing/>
              <w:ind w:right="0" w:firstLine="0" w:left="0"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Developer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6745" w:type="dxa"/>
            <w:vAlign w:val="center"/>
          </w:tcPr>
          <w:p w14:paraId="683FC887">
            <w:pPr>
              <w:spacing/>
              <w:ind w:right="0" w:firstLine="0" w:left="0"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Primary contract responsibility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609" w:type="dxa"/>
            <w:vAlign w:val="center"/>
          </w:tcPr>
          <w:p w14:paraId="0F08018A">
            <w:pP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Developer 1 — backend and execution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6745" w:type="dxa"/>
            <w:vAlign w:val="center"/>
          </w:tcPr>
          <w:p w14:paraId="5E809789">
            <w:pP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Public API, task lifecycle, persistence, policy integration, error mapping and recovery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609" w:type="dxa"/>
            <w:vAlign w:val="center"/>
          </w:tcPr>
          <w:p w14:paraId="4EB0E8DB">
            <w:pP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Developer 2 — Windows integration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6745" w:type="dxa"/>
            <w:vAlign w:val="center"/>
          </w:tcPr>
          <w:p w14:paraId="5AE25FFF">
            <w:pP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Bridge protocol, local tool schemas, authentication, local enforcement and execution outcomes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609" w:type="dxa"/>
            <w:vAlign w:val="center"/>
          </w:tcPr>
          <w:p w14:paraId="49850F7B">
            <w:pP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Developer 3 — AI and context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6745" w:type="dxa"/>
            <w:vAlign w:val="center"/>
          </w:tcPr>
          <w:p w14:paraId="50AD343D">
            <w:pP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Planner schema, context inputs, structured outputs, clarification behavior and model failure handling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609" w:type="dxa"/>
            <w:vAlign w:val="center"/>
          </w:tcPr>
          <w:p w14:paraId="176EEC5A">
            <w:pP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All three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6745" w:type="dxa"/>
            <w:vAlign w:val="center"/>
          </w:tcPr>
          <w:p w14:paraId="183A6326">
            <w:pP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Contract review, cross-component tests, security review and end-to-end acceptance</w:t>
            </w:r>
            <w:r/>
          </w:p>
        </w:tc>
      </w:tr>
    </w:tbl>
    <w:p w14:paraId="75604FE2">
      <w:pP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These assignments are a proposal based on the existing team structure. Every developer must understand the security and lifecycle invariants even when another developer owns the implementation.</w:t>
      </w:r>
      <w:r/>
    </w:p>
    <w:p w14:paraId="3DABE2A1">
      <w:pPr>
        <w:pStyle w:val="141"/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Parallel development rule</w:t>
      </w:r>
      <w:r/>
    </w:p>
    <w:p w14:paraId="2DF34CCA">
      <w:pP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Before implementation starts, the team should agree on a small contract package containing:</w:t>
      </w:r>
      <w:r/>
    </w:p>
    <w:p w14:paraId="7207A1C4">
      <w:pPr>
        <w:pStyle w:val="668"/>
        <w:numPr>
          <w:ilvl w:val="0"/>
          <w:numId w:val="6"/>
        </w:numP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Shared identifier definitions.</w:t>
      </w:r>
      <w:r/>
    </w:p>
    <w:p w14:paraId="7E22A837">
      <w:pPr>
        <w:pStyle w:val="668"/>
        <w:numPr>
          <w:ilvl w:val="0"/>
          <w:numId w:val="6"/>
        </w:numP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Task and step state enumerations.</w:t>
      </w:r>
      <w:r/>
    </w:p>
    <w:p w14:paraId="10D0A7F2">
      <w:pPr>
        <w:pStyle w:val="668"/>
        <w:numPr>
          <w:ilvl w:val="0"/>
          <w:numId w:val="6"/>
        </w:numP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Planner input and output schemas.</w:t>
      </w:r>
      <w:r/>
    </w:p>
    <w:p w14:paraId="56018A71">
      <w:pPr>
        <w:pStyle w:val="668"/>
        <w:numPr>
          <w:ilvl w:val="0"/>
          <w:numId w:val="6"/>
        </w:numP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Tool registry and operation envelope.</w:t>
      </w:r>
      <w:r/>
    </w:p>
    <w:p w14:paraId="773E8F63">
      <w:pPr>
        <w:pStyle w:val="668"/>
        <w:numPr>
          <w:ilvl w:val="0"/>
          <w:numId w:val="6"/>
        </w:numP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Bridge response and error formats.</w:t>
      </w:r>
      <w:r/>
    </w:p>
    <w:p w14:paraId="2ADA5B17">
      <w:pPr>
        <w:pStyle w:val="668"/>
        <w:numPr>
          <w:ilvl w:val="0"/>
          <w:numId w:val="6"/>
        </w:numP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Approval decision semantics.</w:t>
      </w:r>
      <w:r/>
    </w:p>
    <w:p w14:paraId="2C1215E3">
      <w:pPr>
        <w:pStyle w:val="668"/>
        <w:numPr>
          <w:ilvl w:val="0"/>
          <w:numId w:val="6"/>
        </w:numP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Versioning and compatibility rules.</w:t>
      </w:r>
      <w:r/>
    </w:p>
    <w:p w14:paraId="1195002E">
      <w:pPr>
        <w:pStyle w:val="668"/>
        <w:numPr>
          <w:ilvl w:val="0"/>
          <w:numId w:val="6"/>
        </w:numP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Representative valid and invalid test fixtures.</w:t>
      </w:r>
      <w:r/>
    </w:p>
    <w:p w14:paraId="05910B70">
      <w:pP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Each component can then use mocks or contract fixtures while the other components are developed independently.</w:t>
      </w:r>
      <w:r/>
    </w:p>
    <w:p w14:paraId="44233AA0">
      <w:pPr>
        <w:pStyle w:val="140"/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03.24.14 MVP priorities</w:t>
      </w:r>
      <w:r/>
    </w:p>
    <w:p w14:paraId="2852CBD3">
      <w:pPr>
        <w:pStyle w:val="668"/>
        <w:numPr>
          <w:ilvl w:val="0"/>
          <w:numId w:val="7"/>
        </w:numP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P0 — required: task submission and status contracts, planner schema, tool invocation envelope, policy decision interface, approval semantics, bridge request/result schema, stable error codes and contract tests.</w:t>
      </w:r>
      <w:r/>
    </w:p>
    <w:p w14:paraId="0EFAF5EE">
      <w:pPr>
        <w:pStyle w:val="668"/>
        <w:numPr>
          <w:ilvl w:val="0"/>
          <w:numId w:val="7"/>
        </w:numP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P1 — required as reliability matures: richer lifecycle events, compatibility negotiation, durable event publication if needed, more detailed reconciliation contracts.</w:t>
      </w:r>
      <w:r/>
    </w:p>
    <w:p w14:paraId="4AA1222B">
      <w:pPr>
        <w:pStyle w:val="668"/>
        <w:numPr>
          <w:ilvl w:val="0"/>
          <w:numId w:val="7"/>
        </w:numP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P2 — future: external message broker, multiple independently deployed protocol versions, distributed tracing and more advanced event-driven workflows.</w:t>
      </w:r>
      <w:r/>
    </w:p>
    <w:p w14:paraId="10BB55A9">
      <w:pP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The design should not introduce a message broker, microservices or a complex event platform solely because those patterns are used in larger systems. Add them only when an identified requirement justifies the operational cost.</w:t>
      </w:r>
      <w:r/>
    </w:p>
    <w:p w14:paraId="165B2598">
      <w:pPr>
        <w:pStyle w:val="140"/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03.24.15 Open decisions register</w:t>
      </w:r>
      <w:r/>
    </w:p>
    <w:tbl>
      <w:tblPr>
        <w:tblStyle w:val="12"/>
        <w:tblInd w:w="0" w:type="dxa"/>
        <w:tblW w:w="0" w:type="auto"/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tblLayout w:type="autofit"/>
        <w:tblLook w:val="04A0" w:firstRow="1" w:lastRow="0" w:firstColumn="1" w:lastColumn="0" w:noHBand="0" w:noVBand="1"/>
      </w:tblPr>
      <w:tblGrid>
        <w:gridCol w:w="529"/>
        <w:gridCol w:w="1950"/>
        <w:gridCol w:w="6875"/>
      </w:tblGrid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529" w:type="dxa"/>
            <w:vAlign w:val="center"/>
          </w:tcPr>
          <w:p w14:paraId="3BD376F2">
            <w:pPr>
              <w:spacing/>
              <w:ind w:right="0" w:firstLine="0" w:left="0"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ID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950" w:type="dxa"/>
            <w:vAlign w:val="center"/>
          </w:tcPr>
          <w:p w14:paraId="06C0CCD7">
            <w:pPr>
              <w:spacing/>
              <w:ind w:right="0" w:firstLine="0" w:left="0"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Decision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6875" w:type="dxa"/>
            <w:vAlign w:val="center"/>
          </w:tcPr>
          <w:p w14:paraId="221075BF">
            <w:pPr>
              <w:spacing/>
              <w:ind w:right="0" w:firstLine="0" w:left="0"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Proposed starting point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529" w:type="dxa"/>
            <w:vAlign w:val="center"/>
          </w:tcPr>
          <w:p w14:paraId="1D237C62">
            <w:pP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INT-01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950" w:type="dxa"/>
            <w:vAlign w:val="center"/>
          </w:tcPr>
          <w:p w14:paraId="3ECD9706">
            <w:pP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Shared schema technology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6875" w:type="dxa"/>
            <w:vAlign w:val="center"/>
          </w:tcPr>
          <w:p w14:paraId="488E3577">
            <w:pP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Evaluate Pydantic models for Python boundaries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529" w:type="dxa"/>
            <w:vAlign w:val="center"/>
          </w:tcPr>
          <w:p w14:paraId="3648DFF9">
            <w:pP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INT-02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950" w:type="dxa"/>
            <w:vAlign w:val="center"/>
          </w:tcPr>
          <w:p w14:paraId="30A25BDF">
            <w:pP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Bridge communication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6875" w:type="dxa"/>
            <w:vAlign w:val="center"/>
          </w:tcPr>
          <w:p w14:paraId="283AB82A">
            <w:pP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Keep polling as the provisional transport; finalize the protocol independently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529" w:type="dxa"/>
            <w:vAlign w:val="center"/>
          </w:tcPr>
          <w:p w14:paraId="7A82BBF2">
            <w:pP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INT-03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950" w:type="dxa"/>
            <w:vAlign w:val="center"/>
          </w:tcPr>
          <w:p w14:paraId="1C919A44">
            <w:pP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Internal events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6875" w:type="dxa"/>
            <w:vAlign w:val="center"/>
          </w:tcPr>
          <w:p w14:paraId="7C1460F2">
            <w:pP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Start with explicit service calls and persisted state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529" w:type="dxa"/>
            <w:vAlign w:val="center"/>
          </w:tcPr>
          <w:p w14:paraId="556F7E19">
            <w:pP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INT-04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950" w:type="dxa"/>
            <w:vAlign w:val="center"/>
          </w:tcPr>
          <w:p w14:paraId="0C765658">
            <w:pP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Durable event publication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6875" w:type="dxa"/>
            <w:vAlign w:val="center"/>
          </w:tcPr>
          <w:p w14:paraId="45AFD022">
            <w:pP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Add a transactional outbox if reliable asynchronous publication becomes necessary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529" w:type="dxa"/>
            <w:vAlign w:val="center"/>
          </w:tcPr>
          <w:p w14:paraId="587D8E41">
            <w:pP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INT-05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950" w:type="dxa"/>
            <w:vAlign w:val="center"/>
          </w:tcPr>
          <w:p w14:paraId="5CDDA6A9">
            <w:pP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ID format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6875" w:type="dxa"/>
            <w:vAlign w:val="center"/>
          </w:tcPr>
          <w:p w14:paraId="551FD06A">
            <w:pP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Select one consistent opaque identifier strategy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529" w:type="dxa"/>
            <w:vAlign w:val="center"/>
          </w:tcPr>
          <w:p w14:paraId="21C42D2A">
            <w:pP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INT-06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950" w:type="dxa"/>
            <w:vAlign w:val="center"/>
          </w:tcPr>
          <w:p w14:paraId="43042AAD">
            <w:pP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Unknown fields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6875" w:type="dxa"/>
            <w:vAlign w:val="center"/>
          </w:tcPr>
          <w:p w14:paraId="2947AE5A">
            <w:pP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Define strictness separately for public API, bridge messages and forward-compatible metadata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529" w:type="dxa"/>
            <w:vAlign w:val="center"/>
          </w:tcPr>
          <w:p w14:paraId="3EB790FF">
            <w:pP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INT-07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950" w:type="dxa"/>
            <w:vAlign w:val="center"/>
          </w:tcPr>
          <w:p w14:paraId="4D89C804">
            <w:pP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Protocol upgrades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6875" w:type="dxa"/>
            <w:vAlign w:val="center"/>
          </w:tcPr>
          <w:p w14:paraId="12BFCB26">
            <w:pP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Document compatibility and recovery before enabling mixed versions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529" w:type="dxa"/>
            <w:vAlign w:val="center"/>
          </w:tcPr>
          <w:p w14:paraId="4757940D">
            <w:pP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INT-08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950" w:type="dxa"/>
            <w:vAlign w:val="center"/>
          </w:tcPr>
          <w:p w14:paraId="670BB233">
            <w:pP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Payload limits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6875" w:type="dxa"/>
            <w:vAlign w:val="center"/>
          </w:tcPr>
          <w:p w14:paraId="35F547E1">
            <w:pP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Establish explicit limits for requests, tool results and error details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529" w:type="dxa"/>
            <w:vAlign w:val="center"/>
          </w:tcPr>
          <w:p w14:paraId="74A3E9B9">
            <w:pP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INT-09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950" w:type="dxa"/>
            <w:vAlign w:val="center"/>
          </w:tcPr>
          <w:p w14:paraId="70DA135E">
            <w:pP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Error contract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6875" w:type="dxa"/>
            <w:vAlign w:val="center"/>
          </w:tcPr>
          <w:p w14:paraId="14912CE7">
            <w:pP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Finalize error codes and map them consistently at every boundary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529" w:type="dxa"/>
            <w:vAlign w:val="center"/>
          </w:tcPr>
          <w:p w14:paraId="521C040F">
            <w:pP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INT-10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950" w:type="dxa"/>
            <w:vAlign w:val="center"/>
          </w:tcPr>
          <w:p w14:paraId="56F923DC">
            <w:pP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API contract generation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6875" w:type="dxa"/>
            <w:vAlign w:val="center"/>
          </w:tcPr>
          <w:p w14:paraId="168E5618">
            <w:pP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Decide how the OpenAPI specification and shared test fixtures are maintained</w:t>
            </w:r>
            <w:r/>
          </w:p>
        </w:tc>
      </w:tr>
    </w:tbl>
    <w:p w14:paraId="723CC151">
      <w:pP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These choices should be resolved before their respective interfaces are implemented. None requires selecting a distributed architecture in advance.</w:t>
      </w:r>
      <w:r/>
    </w:p>
    <w:p w14:paraId="3D2D34B3">
      <w:pPr>
        <w:pStyle w:val="140"/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03.24.16 Acceptance criteria</w:t>
      </w:r>
      <w:r/>
    </w:p>
    <w:p w14:paraId="2780EED1">
      <w:pPr>
        <w:pStyle w:val="668"/>
        <w:numPr>
          <w:ilvl w:val="0"/>
          <w:numId w:val="7"/>
        </w:numP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The CLI and backend agree on task submission, status, approval, cancellation and error contracts.</w:t>
      </w:r>
      <w:r/>
    </w:p>
    <w:p w14:paraId="4A19E0A1">
      <w:pPr>
        <w:pStyle w:val="668"/>
        <w:numPr>
          <w:ilvl w:val="0"/>
          <w:numId w:val="7"/>
        </w:numP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The planner returns validated structured proposals rather than executable commands.</w:t>
      </w:r>
      <w:r/>
    </w:p>
    <w:p w14:paraId="6EC9AC06">
      <w:pPr>
        <w:pStyle w:val="668"/>
        <w:numPr>
          <w:ilvl w:val="0"/>
          <w:numId w:val="7"/>
        </w:numP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The policy engine's decision contract separates authorization from planning.</w:t>
      </w:r>
      <w:r/>
    </w:p>
    <w:p w14:paraId="7F0C239A">
      <w:pPr>
        <w:pStyle w:val="668"/>
        <w:numPr>
          <w:ilvl w:val="0"/>
          <w:numId w:val="7"/>
        </w:numP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The bridge contract identifies the target device and distinguishes operation identity from attempt identity.</w:t>
      </w:r>
      <w:r/>
    </w:p>
    <w:p w14:paraId="6831ED28">
      <w:pPr>
        <w:pStyle w:val="668"/>
        <w:numPr>
          <w:ilvl w:val="0"/>
          <w:numId w:val="7"/>
        </w:numP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Duplicate delivery and uncertain external outcomes have documented handling.</w:t>
      </w:r>
      <w:r/>
    </w:p>
    <w:p w14:paraId="26479F62">
      <w:pPr>
        <w:pStyle w:val="668"/>
        <w:numPr>
          <w:ilvl w:val="0"/>
          <w:numId w:val="7"/>
        </w:numP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Persistence rules prevent duplicate task creation and unsafe concurrent execution.</w:t>
      </w:r>
      <w:r/>
    </w:p>
    <w:p w14:paraId="2B4780CA">
      <w:pPr>
        <w:pStyle w:val="668"/>
        <w:numPr>
          <w:ilvl w:val="0"/>
          <w:numId w:val="7"/>
        </w:numP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State transitions and internal events use documented meanings.</w:t>
      </w:r>
      <w:r/>
    </w:p>
    <w:p w14:paraId="2ACA6E4F">
      <w:pPr>
        <w:pStyle w:val="668"/>
        <w:numPr>
          <w:ilvl w:val="0"/>
          <w:numId w:val="7"/>
        </w:numP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Incompatible contracts fail safely.</w:t>
      </w:r>
      <w:r/>
    </w:p>
    <w:p w14:paraId="183C1333">
      <w:pPr>
        <w:pStyle w:val="668"/>
        <w:numPr>
          <w:ilvl w:val="0"/>
          <w:numId w:val="7"/>
        </w:numP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Each component has independent contract tests and shared test fixtures.</w:t>
      </w:r>
      <w:r/>
    </w:p>
    <w:p w14:paraId="27F2A42A">
      <w:pPr>
        <w:pStyle w:val="668"/>
        <w:numPr>
          <w:ilvl w:val="0"/>
          <w:numId w:val="7"/>
        </w:numP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The team can execute an end-to-end test using all three developers' components without ad hoc field-name or status conversions.</w:t>
      </w:r>
      <w:r/>
    </w:p>
    <w:p w14:paraId="565134D3">
      <w:pPr>
        <w:pStyle w:val="141"/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Section exit criteria</w:t>
      </w:r>
      <w:r/>
    </w:p>
    <w:p w14:paraId="0F795DFD">
      <w:pP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Section 03.24 is ready to move forward when the three developers agree on the interface contracts and can develop their components independently against the same schemas and test fixtures.</w:t>
      </w:r>
      <w:r/>
    </w:p>
    <w:p>
      <w:pPr>
        <w:spacing/>
        <w:ind/>
        <w:rPr/>
      </w:pPr>
      <w:r/>
      <w:r/>
    </w:p>
    <w:sectPr>
      <w:footnotePr/>
      <w:endnotePr/>
      <w:type w:val="nextPage"/>
      <w:pgSz w:h="15840" w:orient="portrait" w:w="12240"/>
      <w:pgMar w:top="1440" w:right="1440" w:bottom="1440" w:left="144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Wingdings">
    <w:panose1 w:val="05000000000000000000"/>
  </w:font>
  <w:font w:name="Courier New">
    <w:panose1 w:val="02070309020205020404"/>
  </w:font>
  <w:font w:name="Symbol">
    <w:panose1 w:val="05050102010706020507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46AEB29E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">
    <w:nsid w:val="4CBE166E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2">
    <w:nsid w:val="0CEDCAE1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">
    <w:nsid w:val="4775049B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4">
    <w:nsid w:val="43398E14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">
    <w:nsid w:val="1798CE90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6">
    <w:nsid w:val="51F6277B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64"/>
    <w:next w:val="664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664"/>
    <w:next w:val="664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64"/>
    <w:next w:val="664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4"/>
    <w:next w:val="66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4"/>
    <w:next w:val="664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4"/>
    <w:next w:val="66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4"/>
    <w:next w:val="66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4"/>
    <w:next w:val="66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4"/>
    <w:next w:val="66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4"/>
    <w:next w:val="664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4"/>
    <w:next w:val="66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4"/>
    <w:next w:val="66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4"/>
    <w:next w:val="66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6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64"/>
    <w:next w:val="6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90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1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2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3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4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5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6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7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pBdr/>
      <w:spacing/>
      <w:ind/>
    </w:pPr>
  </w:style>
  <w:style w:type="table" w:styleId="66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6" w:default="1">
    <w:name w:val="No List"/>
    <w:uiPriority w:val="99"/>
    <w:semiHidden/>
    <w:unhideWhenUsed/>
    <w:pPr>
      <w:pBdr/>
      <w:spacing/>
      <w:ind/>
    </w:pPr>
  </w:style>
  <w:style w:type="paragraph" w:styleId="667">
    <w:name w:val="No Spacing"/>
    <w:basedOn w:val="664"/>
    <w:uiPriority w:val="1"/>
    <w:qFormat/>
    <w:pPr>
      <w:pBdr/>
      <w:spacing w:after="0" w:line="240" w:lineRule="auto"/>
      <w:ind/>
    </w:pPr>
  </w:style>
  <w:style w:type="paragraph" w:styleId="668">
    <w:name w:val="List Paragraph"/>
    <w:basedOn w:val="664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image" Target="media/image1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ONLYOFFICE/10.0.0.169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praveen kumar reddy</dc:creator>
  <cp:revision>1</cp:revision>
  <dcterms:created xsi:type="dcterms:W3CDTF">2026-10-22T13:47:31Z</dcterms:created>
  <dcterms:modified xsi:type="dcterms:W3CDTF">2026-10-22T13:49:24Z</dcterms:modified>
</cp:coreProperties>
</file>