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single" w:color="1B4F72" w:sz="4"/>
              <w:right w:val="none" w:sz="0"/>
            </w:tcBorders>
            <w:tcMar>
              <w:top w:type="dxa" w:w="200"/>
              <w:left w:type="dxa" w:w="0"/>
              <w:bottom w:type="dxa" w:w="300"/>
              <w:right w:type="dxa" w:w="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48"/>
                <w:szCs w:val="48"/>
              </w:rPr>
              <w:t xml:space="preserve">CROSS-CAMPAIGN</w:t>
            </w:r>
          </w:p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B4F72"/>
                <w:sz w:val="48"/>
                <w:szCs w:val="48"/>
              </w:rPr>
              <w:t xml:space="preserve">UPLIFT ANALYSIS</w:t>
            </w:r>
          </w:p>
          <w:p>
            <w:pPr>
              <w:spacing w:before="80" w:after="200"/>
            </w:pPr>
            <w:r>
              <w:rPr>
                <w:rFonts w:ascii="Arial" w:cs="Arial" w:eastAsia="Arial" w:hAnsi="Arial"/>
                <w:color w:val="2C3E50"/>
                <w:sz w:val="28"/>
                <w:szCs w:val="28"/>
              </w:rPr>
              <w:t xml:space="preserve">Full Comparison Report</w:t>
            </w:r>
          </w:p>
        </w:tc>
      </w:tr>
    </w:tbl>
    <w:p>
      <w:pPr>
        <w:spacing w:before="300" w:after="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Date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color w:val="34495E"/>
                <w:sz w:val="20"/>
                <w:szCs w:val="20"/>
              </w:rPr>
              <w:t xml:space="preserve">February 9, 2026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Period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color w:val="34495E"/>
                <w:sz w:val="20"/>
                <w:szCs w:val="20"/>
              </w:rPr>
              <w:t xml:space="preserve">Dec 4, 2025 – Feb 9, 2026</w:t>
            </w:r>
          </w:p>
        </w:tc>
      </w:tr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Purpose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color w:val="34495E"/>
                <w:sz w:val="20"/>
                <w:szCs w:val="20"/>
              </w:rPr>
              <w:t xml:space="preserve">Complete experimental breakdown across all dimensions</w:t>
            </w:r>
          </w:p>
        </w:tc>
      </w:tr>
    </w:tbl>
    <w:p>
      <w:pPr>
        <w:spacing w:before="1200" w:after="0"/>
      </w:pPr>
    </w:p>
    <w:p>
      <w:r>
        <w:rPr>
          <w:rFonts w:ascii="Arial" w:cs="Arial" w:eastAsia="Arial" w:hAnsi="Arial"/>
          <w:b/>
          <w:bCs/>
          <w:color w:val="BDC3C7"/>
          <w:sz w:val="18"/>
          <w:szCs w:val="18"/>
        </w:rPr>
        <w:t xml:space="preserve">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1. Experiment Structure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4495E"/>
          <w:sz w:val="20"/>
          <w:szCs w:val="20"/>
        </w:rPr>
        <w:t xml:space="preserve">All email recipients (~104K of 3M total users) were split into two experimental arms:</w:t>
      </w:r>
    </w:p>
    <w:p>
      <w:pPr>
        <w:spacing w:before="60" w:after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Arm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Assignment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</w:tr>
      <w:tr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Random (4103)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~80% of sends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Unbiased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BR / AC / PP</w:t>
            </w:r>
          </w:p>
        </w:tc>
      </w:tr>
      <w:tr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 (4689)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~20% of sends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Thompson Sampling</w:t>
            </w:r>
          </w:p>
        </w:tc>
        <w:tc>
          <w:tcPr>
            <w:tcW w:type="dxa" w:w="252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BR / AC / PP</w:t>
            </w:r>
          </w:p>
        </w:tc>
      </w:tr>
    </w:tbl>
    <w:p>
      <w:pPr>
        <w:spacing w:before="80" w:after="0"/>
      </w:pP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Arm split note: The experiment started 100% Random. Bandit was introduced Dec 14 at ~6–10%, ramped to ~28% by Jan 11, and reached 50/50 only on Jan 18. Overall period average is 80% Random / 20% Bandit.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Key constraint: No holdout control group. All email recipients receive a treatment — we can compare Personalized vs Static, but not email vs no-email. Only ~3.4% of total users received email during this period.</w:t>
      </w:r>
    </w:p>
    <w:p>
      <w:pPr>
        <w:spacing w:before="6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Full User Funnel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80"/>
        <w:gridCol w:w="2280"/>
      </w:tblGrid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of Total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Total users in system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3,031,468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Email consented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1,132,419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37.3%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No email consent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1,899,049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62.7%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Has fitment data (YMM)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504,092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16.6%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Fitment + email consented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258,185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8.5%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Fitment, no email consent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245,907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8.1%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No fitment data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2,527,376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83.4%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No fitment + email consented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874,234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28.8%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Actually received email (period)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103,852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dxa" w:w="4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Fitment users who received email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19,711</w:t>
            </w:r>
          </w:p>
        </w:tc>
        <w:tc>
          <w:tcPr>
            <w:tcW w:type="dxa" w:w="228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0.7%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Only 16.6% of users have fitment data — the rest can only receive Static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~49% of fitment users have NOT opted into email (245K untapped)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Of 258K fitment email subscribers, only 7.6% actually received emails this period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874K non-fitment email subscribers exist — currently can only get Static content</w:t>
            </w:r>
          </w:p>
        </w:tc>
      </w:tr>
    </w:tbl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2. Personalized vs Static — Within-User Analysis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Same users received BOTH Personalized and Static emails. This controls for all user-level differences and is the gold standard comparison.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Random Arm Only (Cleanest — Unbiased Assignment)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100"/>
        <w:gridCol w:w="1100"/>
        <w:gridCol w:w="1200"/>
        <w:gridCol w:w="1200"/>
      </w:tblGrid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Overlap Users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Opened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Clicked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Uplift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 Uplift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13,310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36.03%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6.66%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13,310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26.89%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5.57%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+34%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+20%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1,314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31.20%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4.64%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1,314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22.83%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3.73%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+37%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+24%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656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30.95%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3.66%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656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22.87%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3.66%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+35%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0% (tied)</w:t>
            </w:r>
          </w:p>
        </w:tc>
      </w:tr>
    </w:tbl>
    <w:p>
      <w:pPr>
        <w:spacing w:before="10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Both Arms (More Power, Slight Bandit Bias)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100"/>
        <w:gridCol w:w="1100"/>
        <w:gridCol w:w="1200"/>
        <w:gridCol w:w="1200"/>
      </w:tblGrid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Overlap Users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Opened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Clicked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Uplift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 Uplift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14,217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37.42%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7.24%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14,217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28.21%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6.27%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+33%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+15%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1,683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34.11%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5.76%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1,683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24.42%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3.86%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+40%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+49%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688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31.25%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3.63%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688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22.97%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3.63%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+36%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0% (tied)</w:t>
            </w:r>
          </w:p>
        </w:tc>
      </w:tr>
    </w:tbl>
    <w:p>
      <w:pPr>
        <w:spacing w:before="10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Summary: Within-User P vs 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Winner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 Winner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Lift (Random)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 Lift (Random)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+34%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+20%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+37%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+24%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Tied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+35%</w:t>
            </w:r>
          </w:p>
        </w:tc>
        <w:tc>
          <w:tcPr>
            <w:tcW w:type="dxa" w:w="184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0%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Personalized wins on opens in all 3 campaigns (+34–37%)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Personalized wins on clicks in Browse Recovery (+20%) and Abandon Cart (+24%)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Post Purchase is dead even on clicks (3.66% each)</w:t>
            </w:r>
          </w:p>
        </w:tc>
      </w:tr>
    </w:tbl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3. Random vs Bandit — Is the Model Learning?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1000"/>
        <w:gridCol w:w="1100"/>
        <w:gridCol w:w="1200"/>
        <w:gridCol w:w="1200"/>
        <w:gridCol w:w="11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Rate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Opens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Clicked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22,258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16.97%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8.68%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7.56%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4,294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21.78%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7.74%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10.34%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49,520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10.46%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8.39%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4.64%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13,113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14.47%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8.24%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5.73%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2,897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14.15%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8.05%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4.31%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854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20.46%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8.08%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6.21%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27,938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10.19%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8.00%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2.65%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6,936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11.66%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8.43%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4.77%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2,571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13.39%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4.71%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4.20%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378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15.09%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3.60%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2.91%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Random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34,172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8.91%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6.06%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1.15%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Bandit</w:t>
            </w:r>
          </w:p>
        </w:tc>
        <w:tc>
          <w:tcPr>
            <w:tcW w:type="dxa" w:w="11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4,520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8.67%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5.44%</w:t>
            </w:r>
          </w:p>
        </w:tc>
        <w:tc>
          <w:tcPr>
            <w:tcW w:type="dxa" w:w="1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0.93%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Bandit consistently shows higher open rates than Random across BR and AC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Bandit shows higher % users clicked in BR and AC, suggesting the model IS selecting better user-treatment matches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Post Purchase is the exception — Bandit has fewer users (378 P) and underperforms Random on clicks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CTR-of-opens is similar between arms (~8%), confirming lift comes from better targeting, not content</w:t>
            </w:r>
          </w:p>
        </w:tc>
      </w:tr>
    </w:tbl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4. Across Campaigns — Random Arm, Fitment Users Only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1200"/>
        <w:gridCol w:w="1300"/>
        <w:gridCol w:w="1300"/>
        <w:gridCol w:w="1260"/>
      </w:tblGrid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Opened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Clicked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Sends/User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12,783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46.00%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10.15%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9.9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7,342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20.99%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3.05%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3.4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2,896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27.00%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4.32%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4.0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2,475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23.43%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4.48%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2.9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Personalized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2,571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34.15%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4.20%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6.8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Static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1,642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25.46%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4.32%</w:t>
            </w:r>
          </w:p>
        </w:tc>
        <w:tc>
          <w:tcPr>
            <w:tcW w:type="dxa" w:w="12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2.0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Browse Recovery has the highest engagement by far (10.15% users clicked, 46% opened for P)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Browse Recovery also has the highest send frequency (9.9 sends/user for P)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Abandon Cart and Post Purchase show near-identical click rates between P and S for fitment users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Personalized sends 2–3x more emails per user than Static across all campaigns</w:t>
            </w:r>
          </w:p>
        </w:tc>
      </w:tr>
    </w:tbl>
    <w:p>
      <w:pPr>
        <w:spacing w:before="80" w:after="0"/>
      </w:pPr>
    </w:p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5. Fitment vs Non-Fitment — Static Treatment, Random Arm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Same treatment (Static), different user populations. Does having vehicle data correlate with engagement?</w:t>
      </w:r>
    </w:p>
    <w:p>
      <w:pPr>
        <w:spacing w:before="40" w:after="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400"/>
        <w:gridCol w:w="1400"/>
        <w:gridCol w:w="1360"/>
      </w:tblGrid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 Fitment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Rate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Opens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Clicked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42,178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10.42%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8.33%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4.91%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7,342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10.92%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9.04%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3.05%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25,463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9.75%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7.76%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2.47%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2,475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16.06%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9.85%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4.48%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32,530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8.49%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5.38%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0.99%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1,642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17.46%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12.77%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4.32%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Fitment users have dramatically higher open rates in AC (+65%) and PP (+106%) even on Static emails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Fitment users have higher CTR-of-opens in all campaigns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Fitment users click at higher rates in AC and PP, but non-fitment win in BR (4.91% vs 3.05%)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Vehicle data is a proxy for engagement level — fitment users are a higher-intent population</w:t>
            </w:r>
          </w:p>
        </w:tc>
      </w:tr>
    </w:tbl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6. User Preference — Who Do They Click?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Among users who received both Personalized and Static (Random Arm, within-user), which type did they click?</w:t>
      </w:r>
    </w:p>
    <w:p>
      <w:pPr>
        <w:spacing w:before="40" w:after="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1200"/>
        <w:gridCol w:w="1560"/>
      </w:tblGrid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Clicked P Only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Clicked S Only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Clicked Both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Neither</w:t>
            </w:r>
          </w:p>
        </w:tc>
        <w:tc>
          <w:tcPr>
            <w:tcW w:type="dxa" w:w="1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P:S Ratio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Browse Recovery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725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579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162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11,844</w:t>
            </w:r>
          </w:p>
        </w:tc>
        <w:tc>
          <w:tcPr>
            <w:tcW w:type="dxa" w:w="1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1.25:1 (P wins)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Abandon Cart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48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1,217</w:t>
            </w:r>
          </w:p>
        </w:tc>
        <w:tc>
          <w:tcPr>
            <w:tcW w:type="dxa" w:w="1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1.33:1 (P wins)</w:t>
            </w:r>
          </w:p>
        </w:tc>
      </w:tr>
      <w:tr>
        <w:tc>
          <w:tcPr>
            <w:tcW w:type="dxa" w:w="17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34495E"/>
                <w:sz w:val="18"/>
                <w:szCs w:val="18"/>
              </w:rPr>
              <w:t xml:space="preserve">Post Purchase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612</w:t>
            </w:r>
          </w:p>
        </w:tc>
        <w:tc>
          <w:tcPr>
            <w:tcW w:type="dxa" w:w="1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1:1 (tied)</w:t>
            </w:r>
          </w:p>
        </w:tc>
      </w:tr>
    </w:tbl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4F72" w:sz="1"/>
              <w:left w:val="single" w:color="1B4F72" w:sz="6"/>
              <w:bottom w:val="single" w:color="1B4F72" w:sz="1"/>
              <w:right w:val="single" w:color="1B4F72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KEY TAKEAWAY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Browse Recovery: 25% more users prefer Personalized (725 vs 579)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Abandon Cart: 33% more users prefer Personalized (48 vs 36)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Post Purchase: Dead even (20 vs 20)</w:t>
            </w:r>
          </w:p>
          <w:p>
            <w:pPr>
              <w:spacing w:before="20" w:after="20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▶  </w:t>
            </w:r>
            <w:r>
              <w:rPr>
                <w:rFonts w:ascii="Arial" w:cs="Arial" w:eastAsia="Arial" w:hAnsi="Arial"/>
                <w:color w:val="2C3E50"/>
                <w:sz w:val="17"/>
                <w:szCs w:val="17"/>
              </w:rPr>
              <w:t xml:space="preserve">Personalized wins or ties on user preference in all 3 campaigns</w:t>
            </w:r>
          </w:p>
        </w:tc>
      </w:tr>
    </w:tbl>
    <w:p>
      <w:pPr>
        <w:spacing w:before="80" w:after="0"/>
      </w:pPr>
    </w:p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7. Send Frequency &amp; Fatigue — Personalized Only</w:t>
      </w: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Browse Recovery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1400"/>
        <w:gridCol w:w="1360"/>
      </w:tblGrid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 #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Rate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Opens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Sends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1st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1st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23,845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20.40%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8.63%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1.76%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baseline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2nd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19,709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18.12%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9.32%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1.69%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-4%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3rd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18,641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16.87%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7.98%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1.35%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-23%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4th–6th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39,146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11.80%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7.14%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0.84%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-52%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7th+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82,654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20.24%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8.68%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1.76%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0%</w:t>
            </w:r>
          </w:p>
        </w:tc>
      </w:tr>
    </w:tbl>
    <w:p>
      <w:pPr>
        <w:spacing w:before="60" w:after="0"/>
      </w:pP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Note: Browse Recovery 7th+ shows NO fatigue — open rate rebounds to 20.24%. This suggests Browse Recovery triggers are driven by fresh browsing intent, not repeated blasts.</w:t>
      </w:r>
    </w:p>
    <w:p>
      <w:pPr>
        <w:spacing w:before="6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Abandon Cart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1400"/>
        <w:gridCol w:w="1360"/>
      </w:tblGrid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 #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Rate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Opens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Sends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1st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1st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3,476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16.43%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11.38%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1.87%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baseline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2nd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2,710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16.46%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9.19%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1.51%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-19%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3rd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2,285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16.32%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9.92%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1.62%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-13%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4th–6th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4,241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14.41%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4.75%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0.68%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-64%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7th+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2,476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15.39%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5.25%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0.81%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-57%</w:t>
            </w:r>
          </w:p>
        </w:tc>
      </w:tr>
    </w:tbl>
    <w:p>
      <w:pPr>
        <w:spacing w:before="60" w:after="0"/>
      </w:pP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Note: AC shows moderate fatigue — CTR drops 64% by 4th–6th send. Open rate stays relatively flat.</w:t>
      </w:r>
    </w:p>
    <w:p>
      <w:pPr>
        <w:spacing w:before="6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Post Purchase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1400"/>
        <w:gridCol w:w="1360"/>
      </w:tblGrid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 #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Sends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Rate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Opens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CTR Sends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C3E50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1st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1st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2,804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15.94%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7.83%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1.25%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baseline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2nd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2,641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15.22%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4.73%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0.72%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-42%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3rd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2,477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15.66%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5.41%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0.85%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-32%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4th–6th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5,990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13.54%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4.44%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0.60%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3F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-52%</w:t>
            </w:r>
          </w:p>
        </w:tc>
      </w:tr>
      <w:tr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7th+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5,886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10.89%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1.87%</w:t>
            </w:r>
          </w:p>
        </w:tc>
        <w:tc>
          <w:tcPr>
            <w:tcW w:type="dxa" w:w="1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4495E"/>
                <w:sz w:val="18"/>
                <w:szCs w:val="18"/>
              </w:rPr>
              <w:t xml:space="preserve">0.20%</w:t>
            </w:r>
          </w:p>
        </w:tc>
        <w:tc>
          <w:tcPr>
            <w:tcW w:type="dxa" w:w="1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-84%</w:t>
            </w:r>
          </w:p>
        </w:tc>
      </w:tr>
    </w:tbl>
    <w:p>
      <w:pPr>
        <w:spacing w:before="60" w:after="0"/>
      </w:pP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/>
          <w:iCs/>
          <w:color w:val="34495E"/>
          <w:sz w:val="20"/>
          <w:szCs w:val="20"/>
        </w:rPr>
        <w:t xml:space="preserve">Note: Post Purchase shows the most severe fatigue — CTR drops 84% by 7th+ send. Open rate also decays significantly (15.94% → 10.89%).</w:t>
      </w:r>
    </w:p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8. Key Findings</w:t>
      </w: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1. Personalized Wins on Opens Everywhere (+34–37%)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4495E"/>
          <w:sz w:val="20"/>
          <w:szCs w:val="20"/>
        </w:rPr>
        <w:t xml:space="preserve">Consistent across all campaigns, both arms. The personalized email is more likely to be opened.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2. Personalized Wins or Ties on Clicks in All Campaigns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4495E"/>
          <w:sz w:val="20"/>
          <w:szCs w:val="20"/>
        </w:rPr>
        <w:t xml:space="preserve">Browse Recovery: P wins </w:t>
      </w: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(+20% clicks, 25% more users prefer 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4495E"/>
          <w:sz w:val="20"/>
          <w:szCs w:val="20"/>
        </w:rPr>
        <w:t xml:space="preserve">Abandon Cart: P wins </w:t>
      </w: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(+24% clicks, 33% more users prefer 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4495E"/>
          <w:sz w:val="20"/>
          <w:szCs w:val="20"/>
        </w:rPr>
        <w:t xml:space="preserve">Post Purchase: Tied </w:t>
      </w:r>
      <w:r>
        <w:rPr>
          <w:rFonts w:ascii="Arial" w:cs="Arial" w:eastAsia="Arial" w:hAnsi="Arial"/>
          <w:b/>
          <w:bCs/>
          <w:color w:val="E67E22"/>
          <w:sz w:val="20"/>
          <w:szCs w:val="20"/>
        </w:rPr>
        <w:t xml:space="preserve">(3.66% each, user preference 20 vs 20)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3. The Bandit IS Learning (Caveat: Unequal Exposure)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4495E"/>
          <w:sz w:val="20"/>
          <w:szCs w:val="20"/>
        </w:rPr>
        <w:t xml:space="preserve">Bandit arm shows higher open rates and % users clicked than Random in BR and AC. However, the arm split was ~80/20 overall (50/50 only from Jan 18), so Bandit results have less statistical power.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4. Fitment Users Are Higher-Intent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4495E"/>
          <w:sz w:val="20"/>
          <w:szCs w:val="20"/>
        </w:rPr>
        <w:t xml:space="preserve">Even on identical Static emails, fitment users open 65–106% more in AC and PP. Fitment users click at higher rates in AC and PP, but non-fitment win in BR. Vehicle data is a proxy for engagement.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5. Fatigue Varies by Campaign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Browse Recovery: </w:t>
      </w: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No fatigue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(7th+ send = same CTR as 1st)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Abandon Cart: </w:t>
      </w:r>
      <w:r>
        <w:rPr>
          <w:rFonts w:ascii="Arial" w:cs="Arial" w:eastAsia="Arial" w:hAnsi="Arial"/>
          <w:b/>
          <w:bCs/>
          <w:color w:val="E67E22"/>
          <w:sz w:val="20"/>
          <w:szCs w:val="20"/>
        </w:rPr>
        <w:t xml:space="preserve">Moderate fatigue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(-57% by 7th+)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Post Purchase: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Severe fatigue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(-84% by 7th+)</w:t>
      </w:r>
    </w:p>
    <w:p>
      <w:pPr>
        <w:spacing w:before="40" w:after="0"/>
      </w:pPr>
    </w:p>
    <w:p>
      <w:pPr>
        <w:pStyle w:val="Heading2"/>
        <w:spacing w:before="160" w:after="8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6. Send Frequency Imbalance</w:t>
      </w:r>
    </w:p>
    <w:p>
      <w:pPr>
        <w:spacing w:before="40" w:after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4495E"/>
          <w:sz w:val="20"/>
          <w:szCs w:val="20"/>
        </w:rPr>
        <w:t xml:space="preserve">Personalized sends 1.4–3.4x more per user than Static. This dilutes per-send metrics and drives fatigue in AC and PP. Capping PP sends at 3 would reduce waste.</w:t>
      </w:r>
    </w:p>
    <w:p>
      <w:pPr>
        <w:pStyle w:val="Heading1"/>
        <w:spacing w:before="240" w:after="120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9. Methodology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Analysis period: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December 4, 2025 – February 9, 2026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Interaction window: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+7 days past send window (through Feb 16)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Within-user: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Users who received BOTH P and S in the same campaign (per-campaign overlap, not cross-campaign)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CTR formula: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SUM(opened AND clicked) / SUM(opened) — excludes phantom clicks from image-blocking clients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% users clicked: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Binary per-user rate — did this user click at least once? (controls for send frequency)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Treatment classification: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From PostgreSQL treatment.name (BR / AC / PP × Personalized / Static)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Fitment-eligible: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Users with all 3 vehicle attributes (v1_year, v1_make, v1_model)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34495E"/>
          <w:sz w:val="20"/>
          <w:szCs w:val="20"/>
        </w:rPr>
        <w:t xml:space="preserve">Arms: </w:t>
      </w:r>
      <w:r>
        <w:rPr>
          <w:rFonts w:ascii="Arial" w:cs="Arial" w:eastAsia="Arial" w:hAnsi="Arial"/>
          <w:color w:val="34495E"/>
          <w:sz w:val="20"/>
          <w:szCs w:val="20"/>
        </w:rPr>
        <w:t xml:space="preserve">Random (4103) = unbiased assignment; Bandit (4689) = Thompson Sampling. Overall split ~80/20 (50/50 only from Jan 18)</w:t>
      </w:r>
    </w:p>
    <w:p>
      <w:pPr>
        <w:spacing w:before="4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single" w:color="1B4F72" w:sz="2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0" w:after="0"/>
            </w:pPr>
          </w:p>
        </w:tc>
      </w:tr>
    </w:tbl>
    <w:p>
      <w:pPr>
        <w:spacing w:before="20" w:after="0"/>
      </w:pPr>
    </w:p>
    <w:p>
      <w:pPr>
        <w:spacing w:before="40" w:after="60" w:line="260"/>
      </w:pPr>
      <w:r>
        <w:rPr>
          <w:rFonts w:ascii="Arial" w:cs="Arial" w:eastAsia="Arial" w:hAnsi="Arial"/>
          <w:b/>
          <w:bCs/>
          <w:i w:val="false"/>
          <w:iCs w:val="false"/>
          <w:color w:val="34495E"/>
          <w:sz w:val="20"/>
          <w:szCs w:val="20"/>
        </w:rPr>
        <w:t xml:space="preserve">Total sends in analysis: ~851K</w:t>
      </w:r>
    </w:p>
    <w:sectPr>
      <w:headerReference w:type="default" r:id="rId6"/>
      <w:footerReference w:type="default" r:id="rId7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BDC3C7"/>
        <w:sz w:val="16"/>
        <w:szCs w:val="16"/>
      </w:rPr>
      <w:t xml:space="preserve">Page </w:t>
    </w:r>
    <w:r>
      <w:rPr>
        <w:rFonts w:ascii="Arial" w:cs="Arial" w:eastAsia="Arial" w:hAnsi="Arial"/>
        <w:color w:val="BDC3C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i/>
        <w:iCs/>
        <w:color w:val="BDC3C7"/>
        <w:sz w:val="16"/>
        <w:szCs w:val="16"/>
      </w:rPr>
      <w:t xml:space="preserve">Cross-Campaign Uplift Analysis</w:t>
    </w:r>
    <w:r>
      <w:rPr>
        <w:rFonts w:ascii="Arial" w:cs="Arial" w:eastAsia="Arial" w:hAnsi="Arial"/>
        <w:i/>
        <w:iCs/>
        <w:color w:val="BDC3C7"/>
        <w:sz w:val="16"/>
        <w:szCs w:val="16"/>
      </w:rPr>
      <w:t xml:space="preserve">  |  Feb 9,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4495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60" w:after="80"/>
      <w:outlineLvl w:val="1"/>
    </w:pPr>
    <w:rPr>
      <w:rFonts w:ascii="Arial" w:cs="Arial" w:eastAsia="Arial" w:hAnsi="Arial"/>
      <w:b/>
      <w:bCs/>
      <w:color w:val="2C3E50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C3E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2026-02-11T00:42:59.652Z</dcterms:created>
  <dcterms:modified xsi:type="dcterms:W3CDTF">2026-02-11T00:42:59.653Z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