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050C" w14:textId="1BEAA421" w:rsidR="00FB4B85" w:rsidRPr="00FB4B85" w:rsidRDefault="00FB4B85" w:rsidP="00FB4B85">
      <w:pPr>
        <w:rPr>
          <w:rFonts w:ascii="Times New Roman" w:hAnsi="Times New Roman" w:cs="Times New Roman"/>
        </w:rPr>
      </w:pPr>
      <w:r w:rsidRPr="00FB4B85">
        <w:rPr>
          <w:rFonts w:ascii="Times New Roman" w:hAnsi="Times New Roman" w:cs="Times New Roman"/>
          <w:b/>
          <w:bCs/>
        </w:rPr>
        <w:t>EVENTFORCE – EVENT MANAGEMENT SYSTEM</w:t>
      </w:r>
    </w:p>
    <w:p w14:paraId="33EA80DD"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EVENT MANAGEMENT SYSTEM — FINAL PROJECT DOCUMENTATION</w:t>
      </w:r>
    </w:p>
    <w:p w14:paraId="465E8084"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PROJECT AREA: Centralized event administration CORE RECORDS: Events, Clients, Vendors, Venues SUPPORTING MODULES: Event–Vendor coordination, Approvals &amp; Flows, Feedback, Reports PRIMARY PURPOSE: Organize event information and related operational activities in one interface</w:t>
      </w:r>
    </w:p>
    <w:p w14:paraId="327526D0"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 Project Overview</w:t>
      </w:r>
    </w:p>
    <w:p w14:paraId="535ED1C1"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EVENTFORCE is a centralized event-management application that brings event, client, vendor, venue, workflow, feedback and reporting activities into a connected interface. The project material shows a dashboard for monitoring and dedicated modules for maintaining operational records. The event record acts as the main reference point, while supporting modules provide the resources and actions associated with the event lifecycle.</w:t>
      </w:r>
    </w:p>
    <w:p w14:paraId="77A1AAEF"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 Project Scope</w:t>
      </w:r>
    </w:p>
    <w:p w14:paraId="10277A27" w14:textId="77777777" w:rsidR="00FB4B85" w:rsidRPr="00FB4B85" w:rsidRDefault="00FB4B85" w:rsidP="00FB4B85">
      <w:pPr>
        <w:numPr>
          <w:ilvl w:val="0"/>
          <w:numId w:val="112"/>
        </w:numPr>
        <w:rPr>
          <w:rFonts w:ascii="Times New Roman" w:hAnsi="Times New Roman" w:cs="Times New Roman"/>
        </w:rPr>
      </w:pPr>
      <w:r w:rsidRPr="00FB4B85">
        <w:rPr>
          <w:rFonts w:ascii="Times New Roman" w:hAnsi="Times New Roman" w:cs="Times New Roman"/>
        </w:rPr>
        <w:t>Event planning and record management.</w:t>
      </w:r>
    </w:p>
    <w:p w14:paraId="5585F03A" w14:textId="77777777" w:rsidR="00FB4B85" w:rsidRPr="00FB4B85" w:rsidRDefault="00FB4B85" w:rsidP="00FB4B85">
      <w:pPr>
        <w:numPr>
          <w:ilvl w:val="0"/>
          <w:numId w:val="112"/>
        </w:numPr>
        <w:rPr>
          <w:rFonts w:ascii="Times New Roman" w:hAnsi="Times New Roman" w:cs="Times New Roman"/>
        </w:rPr>
      </w:pPr>
      <w:r w:rsidRPr="00FB4B85">
        <w:rPr>
          <w:rFonts w:ascii="Times New Roman" w:hAnsi="Times New Roman" w:cs="Times New Roman"/>
        </w:rPr>
        <w:t>Client and vendor information management.</w:t>
      </w:r>
    </w:p>
    <w:p w14:paraId="0E5DB48B" w14:textId="77777777" w:rsidR="00FB4B85" w:rsidRPr="00FB4B85" w:rsidRDefault="00FB4B85" w:rsidP="00FB4B85">
      <w:pPr>
        <w:numPr>
          <w:ilvl w:val="0"/>
          <w:numId w:val="112"/>
        </w:numPr>
        <w:rPr>
          <w:rFonts w:ascii="Times New Roman" w:hAnsi="Times New Roman" w:cs="Times New Roman"/>
        </w:rPr>
      </w:pPr>
      <w:r w:rsidRPr="00FB4B85">
        <w:rPr>
          <w:rFonts w:ascii="Times New Roman" w:hAnsi="Times New Roman" w:cs="Times New Roman"/>
        </w:rPr>
        <w:t>Venue and event-resource coordination.</w:t>
      </w:r>
    </w:p>
    <w:p w14:paraId="3BE3F94F" w14:textId="77777777" w:rsidR="00FB4B85" w:rsidRPr="00FB4B85" w:rsidRDefault="00FB4B85" w:rsidP="00FB4B85">
      <w:pPr>
        <w:numPr>
          <w:ilvl w:val="0"/>
          <w:numId w:val="112"/>
        </w:numPr>
        <w:rPr>
          <w:rFonts w:ascii="Times New Roman" w:hAnsi="Times New Roman" w:cs="Times New Roman"/>
        </w:rPr>
      </w:pPr>
      <w:r w:rsidRPr="00FB4B85">
        <w:rPr>
          <w:rFonts w:ascii="Times New Roman" w:hAnsi="Times New Roman" w:cs="Times New Roman"/>
        </w:rPr>
        <w:t>Approval and feedback activities.</w:t>
      </w:r>
    </w:p>
    <w:p w14:paraId="33E02A1C" w14:textId="77777777" w:rsidR="00FB4B85" w:rsidRPr="00FB4B85" w:rsidRDefault="00FB4B85" w:rsidP="00FB4B85">
      <w:pPr>
        <w:numPr>
          <w:ilvl w:val="0"/>
          <w:numId w:val="112"/>
        </w:numPr>
        <w:rPr>
          <w:rFonts w:ascii="Times New Roman" w:hAnsi="Times New Roman" w:cs="Times New Roman"/>
        </w:rPr>
      </w:pPr>
      <w:r w:rsidRPr="00FB4B85">
        <w:rPr>
          <w:rFonts w:ascii="Times New Roman" w:hAnsi="Times New Roman" w:cs="Times New Roman"/>
        </w:rPr>
        <w:t>Operational reporting and monitoring.</w:t>
      </w:r>
    </w:p>
    <w:p w14:paraId="39BC48EB"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3. Main Modules</w:t>
      </w:r>
    </w:p>
    <w:p w14:paraId="55590FAE" w14:textId="62FD225F" w:rsidR="00FB4B85" w:rsidRPr="00FB4B85" w:rsidRDefault="00FB4B85" w:rsidP="00FB4B85">
      <w:pPr>
        <w:rPr>
          <w:rFonts w:ascii="Times New Roman" w:hAnsi="Times New Roman" w:cs="Times New Roman"/>
        </w:rPr>
      </w:pPr>
      <w:r>
        <w:rPr>
          <w:rFonts w:ascii="Times New Roman" w:hAnsi="Times New Roman" w:cs="Times New Roman"/>
        </w:rPr>
        <w:t xml:space="preserve"> </w:t>
      </w:r>
      <w:r w:rsidRPr="00FB4B85">
        <w:rPr>
          <w:rFonts w:ascii="Times New Roman" w:hAnsi="Times New Roman" w:cs="Times New Roman"/>
        </w:rPr>
        <w:drawing>
          <wp:inline distT="0" distB="0" distL="0" distR="0" wp14:anchorId="241C939B" wp14:editId="7757717B">
            <wp:extent cx="5311600" cy="3177815"/>
            <wp:effectExtent l="0" t="0" r="3810" b="3810"/>
            <wp:docPr id="67702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27804" name=""/>
                    <pic:cNvPicPr/>
                  </pic:nvPicPr>
                  <pic:blipFill>
                    <a:blip r:embed="rId6"/>
                    <a:stretch>
                      <a:fillRect/>
                    </a:stretch>
                  </pic:blipFill>
                  <pic:spPr>
                    <a:xfrm>
                      <a:off x="0" y="0"/>
                      <a:ext cx="5311600" cy="3177815"/>
                    </a:xfrm>
                    <a:prstGeom prst="rect">
                      <a:avLst/>
                    </a:prstGeom>
                  </pic:spPr>
                </pic:pic>
              </a:graphicData>
            </a:graphic>
          </wp:inline>
        </w:drawing>
      </w:r>
    </w:p>
    <w:p w14:paraId="54BB5C14"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4. Working Principle</w:t>
      </w:r>
    </w:p>
    <w:p w14:paraId="32C84B40"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lastRenderedPageBreak/>
        <w:t>The system follows a connected-record approach: maintain people and resources, create an event, coordinate the venue and vendors, process workflow activities when required, monitor the event, capture feedback, and finally review dashboard and report information.</w:t>
      </w:r>
    </w:p>
    <w:p w14:paraId="2D4DEFE4"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1 Maintain client and vendor records before event planning begins. </w:t>
      </w:r>
    </w:p>
    <w:p w14:paraId="6048E5E1"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2 Create the event with date, type, client, venue, budget and status. </w:t>
      </w:r>
    </w:p>
    <w:p w14:paraId="2EA3429B"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3 Connect the required venue and vendors to the event. </w:t>
      </w:r>
    </w:p>
    <w:p w14:paraId="32D87E77"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4 Use workflow/approval functions where review is required. </w:t>
      </w:r>
    </w:p>
    <w:p w14:paraId="48FBA3E0" w14:textId="483EF8B8" w:rsidR="00FB4B85" w:rsidRPr="00FB4B85" w:rsidRDefault="00FB4B85" w:rsidP="00FB4B85">
      <w:pPr>
        <w:rPr>
          <w:rFonts w:ascii="Times New Roman" w:hAnsi="Times New Roman" w:cs="Times New Roman"/>
        </w:rPr>
      </w:pPr>
      <w:r w:rsidRPr="00FB4B85">
        <w:rPr>
          <w:rFonts w:ascii="Times New Roman" w:hAnsi="Times New Roman" w:cs="Times New Roman"/>
        </w:rPr>
        <w:t>STEP 5 Monitor the event and review feedback and reports.</w:t>
      </w:r>
    </w:p>
    <w:p w14:paraId="78CAA91B"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5. Problem Statement and Need</w:t>
      </w:r>
    </w:p>
    <w:p w14:paraId="11C65DC2"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When event information is handled manually or across separate sources, duplicate information, delayed updates and difficulty in tracking event-related resources can occur. Users may need to check different records to understand one event. EVENTFORCE addresses this operational problem by keeping the principal event-related records within one system.</w:t>
      </w:r>
    </w:p>
    <w:p w14:paraId="02079327"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6. Need for the System</w:t>
      </w:r>
    </w:p>
    <w:p w14:paraId="77A4F111" w14:textId="77777777" w:rsidR="00FB4B85" w:rsidRPr="00FB4B85" w:rsidRDefault="00FB4B85" w:rsidP="00FB4B85">
      <w:pPr>
        <w:numPr>
          <w:ilvl w:val="0"/>
          <w:numId w:val="113"/>
        </w:numPr>
        <w:rPr>
          <w:rFonts w:ascii="Times New Roman" w:hAnsi="Times New Roman" w:cs="Times New Roman"/>
        </w:rPr>
      </w:pPr>
      <w:r w:rsidRPr="00FB4B85">
        <w:rPr>
          <w:rFonts w:ascii="Times New Roman" w:hAnsi="Times New Roman" w:cs="Times New Roman"/>
        </w:rPr>
        <w:t>A single location for event and client information.</w:t>
      </w:r>
    </w:p>
    <w:p w14:paraId="0DC11856" w14:textId="77777777" w:rsidR="00FB4B85" w:rsidRPr="00FB4B85" w:rsidRDefault="00FB4B85" w:rsidP="00FB4B85">
      <w:pPr>
        <w:numPr>
          <w:ilvl w:val="0"/>
          <w:numId w:val="113"/>
        </w:numPr>
        <w:rPr>
          <w:rFonts w:ascii="Times New Roman" w:hAnsi="Times New Roman" w:cs="Times New Roman"/>
        </w:rPr>
      </w:pPr>
      <w:r w:rsidRPr="00FB4B85">
        <w:rPr>
          <w:rFonts w:ascii="Times New Roman" w:hAnsi="Times New Roman" w:cs="Times New Roman"/>
        </w:rPr>
        <w:t>Structured vendor and service-provider records.</w:t>
      </w:r>
    </w:p>
    <w:p w14:paraId="43CF48B9" w14:textId="77777777" w:rsidR="00FB4B85" w:rsidRPr="00FB4B85" w:rsidRDefault="00FB4B85" w:rsidP="00FB4B85">
      <w:pPr>
        <w:numPr>
          <w:ilvl w:val="0"/>
          <w:numId w:val="113"/>
        </w:numPr>
        <w:rPr>
          <w:rFonts w:ascii="Times New Roman" w:hAnsi="Times New Roman" w:cs="Times New Roman"/>
        </w:rPr>
      </w:pPr>
      <w:r w:rsidRPr="00FB4B85">
        <w:rPr>
          <w:rFonts w:ascii="Times New Roman" w:hAnsi="Times New Roman" w:cs="Times New Roman"/>
        </w:rPr>
        <w:t>Better visibility of venue and hall availability.</w:t>
      </w:r>
    </w:p>
    <w:p w14:paraId="0225C4DE" w14:textId="77777777" w:rsidR="00FB4B85" w:rsidRPr="00FB4B85" w:rsidRDefault="00FB4B85" w:rsidP="00FB4B85">
      <w:pPr>
        <w:numPr>
          <w:ilvl w:val="0"/>
          <w:numId w:val="113"/>
        </w:numPr>
        <w:rPr>
          <w:rFonts w:ascii="Times New Roman" w:hAnsi="Times New Roman" w:cs="Times New Roman"/>
        </w:rPr>
      </w:pPr>
      <w:r w:rsidRPr="00FB4B85">
        <w:rPr>
          <w:rFonts w:ascii="Times New Roman" w:hAnsi="Times New Roman" w:cs="Times New Roman"/>
        </w:rPr>
        <w:t>A dedicated place for approval requests and workflow status.</w:t>
      </w:r>
    </w:p>
    <w:p w14:paraId="7DFE1C16" w14:textId="77777777" w:rsidR="00FB4B85" w:rsidRPr="00FB4B85" w:rsidRDefault="00FB4B85" w:rsidP="00FB4B85">
      <w:pPr>
        <w:numPr>
          <w:ilvl w:val="0"/>
          <w:numId w:val="113"/>
        </w:numPr>
        <w:rPr>
          <w:rFonts w:ascii="Times New Roman" w:hAnsi="Times New Roman" w:cs="Times New Roman"/>
        </w:rPr>
      </w:pPr>
      <w:r w:rsidRPr="00FB4B85">
        <w:rPr>
          <w:rFonts w:ascii="Times New Roman" w:hAnsi="Times New Roman" w:cs="Times New Roman"/>
        </w:rPr>
        <w:t>Feedback storage for reviewing client responses.</w:t>
      </w:r>
    </w:p>
    <w:p w14:paraId="188874FA" w14:textId="77777777" w:rsidR="00FB4B85" w:rsidRPr="00FB4B85" w:rsidRDefault="00FB4B85" w:rsidP="00FB4B85">
      <w:pPr>
        <w:numPr>
          <w:ilvl w:val="0"/>
          <w:numId w:val="113"/>
        </w:numPr>
        <w:rPr>
          <w:rFonts w:ascii="Times New Roman" w:hAnsi="Times New Roman" w:cs="Times New Roman"/>
        </w:rPr>
      </w:pPr>
      <w:r w:rsidRPr="00FB4B85">
        <w:rPr>
          <w:rFonts w:ascii="Times New Roman" w:hAnsi="Times New Roman" w:cs="Times New Roman"/>
        </w:rPr>
        <w:t>Reports that summarize information already maintained by the system.</w:t>
      </w:r>
    </w:p>
    <w:p w14:paraId="45FC647A"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7. Objectives</w:t>
      </w:r>
    </w:p>
    <w:p w14:paraId="746FC2EF" w14:textId="16F8984B" w:rsidR="00FB4B85" w:rsidRPr="00FB4B85" w:rsidRDefault="00FB4B85" w:rsidP="00FB4B85">
      <w:pPr>
        <w:rPr>
          <w:rFonts w:ascii="Times New Roman" w:hAnsi="Times New Roman" w:cs="Times New Roman"/>
        </w:rPr>
      </w:pPr>
      <w:r>
        <w:rPr>
          <w:rFonts w:ascii="Times New Roman" w:hAnsi="Times New Roman" w:cs="Times New Roman"/>
        </w:rPr>
        <w:lastRenderedPageBreak/>
        <w:t xml:space="preserve"> </w:t>
      </w:r>
      <w:r w:rsidRPr="00FB4B85">
        <w:rPr>
          <w:rFonts w:ascii="Times New Roman" w:hAnsi="Times New Roman" w:cs="Times New Roman"/>
        </w:rPr>
        <w:drawing>
          <wp:inline distT="0" distB="0" distL="0" distR="0" wp14:anchorId="59F7244D" wp14:editId="7CCDEC92">
            <wp:extent cx="5943600" cy="2632075"/>
            <wp:effectExtent l="0" t="0" r="0" b="0"/>
            <wp:docPr id="20775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7775" name=""/>
                    <pic:cNvPicPr/>
                  </pic:nvPicPr>
                  <pic:blipFill>
                    <a:blip r:embed="rId7"/>
                    <a:stretch>
                      <a:fillRect/>
                    </a:stretch>
                  </pic:blipFill>
                  <pic:spPr>
                    <a:xfrm>
                      <a:off x="0" y="0"/>
                      <a:ext cx="5943600" cy="2632075"/>
                    </a:xfrm>
                    <a:prstGeom prst="rect">
                      <a:avLst/>
                    </a:prstGeom>
                  </pic:spPr>
                </pic:pic>
              </a:graphicData>
            </a:graphic>
          </wp:inline>
        </w:drawing>
      </w:r>
    </w:p>
    <w:p w14:paraId="7E964E18"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8. Conceptual Architecture</w:t>
      </w:r>
    </w:p>
    <w:p w14:paraId="75AC5B83" w14:textId="3099F0CF" w:rsidR="00FB4B85" w:rsidRPr="00FB4B85" w:rsidRDefault="00FB4B85" w:rsidP="00FB4B85">
      <w:pPr>
        <w:rPr>
          <w:rFonts w:ascii="Times New Roman" w:hAnsi="Times New Roman" w:cs="Times New Roman"/>
        </w:rPr>
      </w:pPr>
      <w:r>
        <w:rPr>
          <w:rFonts w:ascii="Times New Roman" w:hAnsi="Times New Roman" w:cs="Times New Roman"/>
        </w:rPr>
        <w:t xml:space="preserve"> </w:t>
      </w:r>
    </w:p>
    <w:p w14:paraId="703F991D"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9. Process Steps</w:t>
      </w:r>
    </w:p>
    <w:p w14:paraId="52E1D65C"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STEP 1 Open the dashboard to understand current operational activity. STEP 2 Navigate to the required record module instead of maintaining disconnected files. STEP 3 Use event information as the central reference for client, venue and vendor relationships. STEP 4 Move approval requests through visible workflow states when required. STEP 5 Use feedback and reports after the operational activity to review results.</w:t>
      </w:r>
    </w:p>
    <w:p w14:paraId="3CE965C2"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10. Dashboard Module</w:t>
      </w:r>
    </w:p>
    <w:p w14:paraId="60F19140"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The dashboard is the first monitoring layer of EVENTFORCE. It presents counts for total events, clients, vendors and venues, together with an average rating. It also provides visual summaries for upcoming events, event type versus budget and event lifecycle status.</w:t>
      </w:r>
    </w:p>
    <w:p w14:paraId="2E5E32EC"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11. Dashboard Usage Steps</w:t>
      </w:r>
    </w:p>
    <w:p w14:paraId="6ED44612"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STEP 1 Start from the dashboard to obtain a summarized view. STEP 2 Check event, client, vendor and venue counts. STEP 3 Review upcoming-event and budget/status visuals. STEP 4 Move to the relevant module for record-level action. STEP 5 Return to the dashboard after updates.</w:t>
      </w:r>
    </w:p>
    <w:p w14:paraId="60912589"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12. Event Management Module</w:t>
      </w:r>
    </w:p>
    <w:p w14:paraId="3B59E27E"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The Events module is the central record-management area. The supplied interface displays event ID, event name, event type, date, client, venue, budget and status.</w:t>
      </w:r>
    </w:p>
    <w:p w14:paraId="0252E0EE"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13. Event Record Components</w:t>
      </w:r>
    </w:p>
    <w:p w14:paraId="1BDDD4E1" w14:textId="2ECBAEB1" w:rsidR="00FB4B85" w:rsidRPr="00FB4B85" w:rsidRDefault="00FB4B85" w:rsidP="00FB4B85">
      <w:pPr>
        <w:rPr>
          <w:rFonts w:ascii="Times New Roman" w:hAnsi="Times New Roman" w:cs="Times New Roman"/>
        </w:rPr>
      </w:pPr>
      <w:r>
        <w:rPr>
          <w:rFonts w:ascii="Times New Roman" w:hAnsi="Times New Roman" w:cs="Times New Roman"/>
        </w:rPr>
        <w:lastRenderedPageBreak/>
        <w:t xml:space="preserve"> </w:t>
      </w:r>
      <w:r w:rsidRPr="00FB4B85">
        <w:rPr>
          <w:rFonts w:ascii="Times New Roman" w:hAnsi="Times New Roman" w:cs="Times New Roman"/>
        </w:rPr>
        <w:drawing>
          <wp:inline distT="0" distB="0" distL="0" distR="0" wp14:anchorId="56F9998C" wp14:editId="40847EDE">
            <wp:extent cx="4534293" cy="3139712"/>
            <wp:effectExtent l="0" t="0" r="0" b="3810"/>
            <wp:docPr id="150138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7924" name=""/>
                    <pic:cNvPicPr/>
                  </pic:nvPicPr>
                  <pic:blipFill>
                    <a:blip r:embed="rId8"/>
                    <a:stretch>
                      <a:fillRect/>
                    </a:stretch>
                  </pic:blipFill>
                  <pic:spPr>
                    <a:xfrm>
                      <a:off x="0" y="0"/>
                      <a:ext cx="4534293" cy="3139712"/>
                    </a:xfrm>
                    <a:prstGeom prst="rect">
                      <a:avLst/>
                    </a:prstGeom>
                  </pic:spPr>
                </pic:pic>
              </a:graphicData>
            </a:graphic>
          </wp:inline>
        </w:drawing>
      </w:r>
    </w:p>
    <w:p w14:paraId="283C768F"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14. Event Lifecycle</w:t>
      </w:r>
    </w:p>
    <w:p w14:paraId="329D15FB"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STEP 1 Create or select the event record. STEP 2 Enter type, date, client, venue, budget and status. STEP 3 Coordinate supporting vendors and resources. STEP 4 Process approval/workflow activities when required. STEP 5 Monitor the event and use feedback/reporting functions.</w:t>
      </w:r>
    </w:p>
    <w:p w14:paraId="4F610357"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15. Client and Vendor Management</w:t>
      </w:r>
    </w:p>
    <w:p w14:paraId="57CA138B"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The Client Directory maintains information required to identify and contact clients. The supplied material includes client ID, name, email, phone, city, country and address.</w:t>
      </w:r>
    </w:p>
    <w:p w14:paraId="7E5CADC2"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The Vendor module stores service-provider information such as vendor name, service type, email, phone, rating and status.</w:t>
      </w:r>
    </w:p>
    <w:p w14:paraId="4482EBC1"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16. Why Separate Client and Vendor Modules?</w:t>
      </w:r>
    </w:p>
    <w:p w14:paraId="6D9B23C0"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Clients and vendors play different roles in an event. A client is associated with the event as the customer or organizing party, while a vendor provides a service. Keeping records separate avoids mixing different information and makes event relationships clearer.</w:t>
      </w:r>
    </w:p>
    <w:p w14:paraId="73B77861"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17. Management Steps</w:t>
      </w:r>
    </w:p>
    <w:p w14:paraId="60921659"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STEP 1 Create or maintain client records with contact information. STEP 2 Create or maintain vendor records with service and status information. STEP 3 Use search/filter facilities to locate existing records. STEP 4 Connect the selected vendor to the relevant event. STEP 5 Review the event record to confirm supporting relationships.</w:t>
      </w:r>
    </w:p>
    <w:p w14:paraId="5F7050F0"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18. Venue, Hall and Resource Coordination</w:t>
      </w:r>
    </w:p>
    <w:p w14:paraId="72DDE3A5"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Venue information supports the physical planning of an event. The supplied project material shows venue names, addresses, capacity, hall details and availability. Event–Vendor coordination connects the event to service providers.</w:t>
      </w:r>
    </w:p>
    <w:p w14:paraId="457336B0"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19. Resource Coordination</w:t>
      </w:r>
    </w:p>
    <w:p w14:paraId="0B86A27F" w14:textId="6F8A73F2" w:rsidR="00FB4B85" w:rsidRPr="00FB4B85" w:rsidRDefault="00FB4B85" w:rsidP="00FB4B85">
      <w:pPr>
        <w:rPr>
          <w:rFonts w:ascii="Times New Roman" w:hAnsi="Times New Roman" w:cs="Times New Roman"/>
        </w:rPr>
      </w:pPr>
      <w:r w:rsidRPr="00FB4B85">
        <w:rPr>
          <w:rFonts w:ascii="Times New Roman" w:hAnsi="Times New Roman" w:cs="Times New Roman"/>
        </w:rPr>
        <w:lastRenderedPageBreak/>
        <w:drawing>
          <wp:inline distT="0" distB="0" distL="0" distR="0" wp14:anchorId="2D8F028A" wp14:editId="62612E7D">
            <wp:extent cx="4320914" cy="2568163"/>
            <wp:effectExtent l="0" t="0" r="3810" b="3810"/>
            <wp:docPr id="137625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56187" name=""/>
                    <pic:cNvPicPr/>
                  </pic:nvPicPr>
                  <pic:blipFill>
                    <a:blip r:embed="rId9"/>
                    <a:stretch>
                      <a:fillRect/>
                    </a:stretch>
                  </pic:blipFill>
                  <pic:spPr>
                    <a:xfrm>
                      <a:off x="0" y="0"/>
                      <a:ext cx="4320914" cy="2568163"/>
                    </a:xfrm>
                    <a:prstGeom prst="rect">
                      <a:avLst/>
                    </a:prstGeom>
                  </pic:spPr>
                </pic:pic>
              </a:graphicData>
            </a:graphic>
          </wp:inline>
        </w:drawing>
      </w:r>
    </w:p>
    <w:p w14:paraId="47149EAE"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20. Coordination Steps</w:t>
      </w:r>
    </w:p>
    <w:p w14:paraId="7829A2CD"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1 Review venue and hall information. </w:t>
      </w:r>
    </w:p>
    <w:p w14:paraId="6B8B9E0B"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2 Check capacity, address and availability. </w:t>
      </w:r>
    </w:p>
    <w:p w14:paraId="7E398158"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3 Select the venue associated with the event. </w:t>
      </w:r>
    </w:p>
    <w:p w14:paraId="26A9B0D5"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4 Identify required services and coordinate vendors. </w:t>
      </w:r>
    </w:p>
    <w:p w14:paraId="7D184A0E" w14:textId="7F241795" w:rsidR="00FB4B85" w:rsidRPr="00FB4B85" w:rsidRDefault="00FB4B85" w:rsidP="00FB4B85">
      <w:pPr>
        <w:rPr>
          <w:rFonts w:ascii="Times New Roman" w:hAnsi="Times New Roman" w:cs="Times New Roman"/>
        </w:rPr>
      </w:pPr>
      <w:r w:rsidRPr="00FB4B85">
        <w:rPr>
          <w:rFonts w:ascii="Times New Roman" w:hAnsi="Times New Roman" w:cs="Times New Roman"/>
        </w:rPr>
        <w:t>STEP 5 Confirm venue and vendor relationships on the event record.</w:t>
      </w:r>
    </w:p>
    <w:p w14:paraId="27DDFAEA"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21. Custom Venue Object and Reporting</w:t>
      </w:r>
    </w:p>
    <w:p w14:paraId="09EFB85B"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The supplied setup screenshot demonstrates creation of a custom Venue object with singular/plural labels, an object name, description and a Venue Name record field. This supports structured venue records within the application environment.</w:t>
      </w:r>
    </w:p>
    <w:p w14:paraId="4C802A43"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22. Reports and Analytics</w:t>
      </w:r>
    </w:p>
    <w:p w14:paraId="6BE236D0"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The reporting area converts stored operational records into summarized information. The supplied material identifies reports for upcoming events, events by status, available venues, available vendors and client feedback.</w:t>
      </w:r>
    </w:p>
    <w:p w14:paraId="605DA7AC"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23. Report Usage Steps</w:t>
      </w:r>
    </w:p>
    <w:p w14:paraId="0E6F1D4D" w14:textId="77777777" w:rsidR="00FB4B85" w:rsidRDefault="00FB4B85" w:rsidP="00FB4B85">
      <w:pPr>
        <w:rPr>
          <w:rFonts w:ascii="Times New Roman" w:hAnsi="Times New Roman" w:cs="Times New Roman"/>
        </w:rPr>
      </w:pPr>
      <w:r w:rsidRPr="00FB4B85">
        <w:rPr>
          <w:rFonts w:ascii="Times New Roman" w:hAnsi="Times New Roman" w:cs="Times New Roman"/>
        </w:rPr>
        <w:t>STEP 1 Open the required report from the reporting area.</w:t>
      </w:r>
    </w:p>
    <w:p w14:paraId="0B64C9AE"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 STEP 2 Review the summarized operational information. </w:t>
      </w:r>
    </w:p>
    <w:p w14:paraId="0A087D8C"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3 Use filters or the available report controls where provided. </w:t>
      </w:r>
    </w:p>
    <w:p w14:paraId="5C9061C2" w14:textId="77777777" w:rsidR="00FB4B85" w:rsidRDefault="00FB4B85" w:rsidP="00FB4B85">
      <w:pPr>
        <w:rPr>
          <w:rFonts w:ascii="Times New Roman" w:hAnsi="Times New Roman" w:cs="Times New Roman"/>
        </w:rPr>
      </w:pPr>
      <w:r w:rsidRPr="00FB4B85">
        <w:rPr>
          <w:rFonts w:ascii="Times New Roman" w:hAnsi="Times New Roman" w:cs="Times New Roman"/>
        </w:rPr>
        <w:t>STEP 4 Compare the report view with the maintained operational records.</w:t>
      </w:r>
    </w:p>
    <w:p w14:paraId="03F650B9" w14:textId="02C50D00" w:rsidR="00FB4B85" w:rsidRPr="00FB4B85" w:rsidRDefault="00FB4B85" w:rsidP="00FB4B85">
      <w:pPr>
        <w:rPr>
          <w:rFonts w:ascii="Times New Roman" w:hAnsi="Times New Roman" w:cs="Times New Roman"/>
        </w:rPr>
      </w:pPr>
      <w:r w:rsidRPr="00FB4B85">
        <w:rPr>
          <w:rFonts w:ascii="Times New Roman" w:hAnsi="Times New Roman" w:cs="Times New Roman"/>
        </w:rPr>
        <w:t xml:space="preserve"> STEP 5 Return to the dashboard or module for further record-level work.</w:t>
      </w:r>
    </w:p>
    <w:p w14:paraId="1B837784"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24. Approvals, Feedback, Testing and Conclusion</w:t>
      </w:r>
    </w:p>
    <w:p w14:paraId="1D8CC02C"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lastRenderedPageBreak/>
        <w:t>The Approvals &amp; Flows module provides a place for event-related requests that require review. The supplied material demonstrates visible status and approval/rejection controls. The feedback area records client ratings and comments associated with events.</w:t>
      </w:r>
    </w:p>
    <w:p w14:paraId="3BB51AD2"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25. Verification Checklist</w:t>
      </w:r>
    </w:p>
    <w:p w14:paraId="19F7CC93" w14:textId="7BB9DDA9" w:rsidR="00FB4B85" w:rsidRPr="00FB4B85" w:rsidRDefault="00FB4B85" w:rsidP="00FB4B85">
      <w:pPr>
        <w:rPr>
          <w:rFonts w:ascii="Times New Roman" w:hAnsi="Times New Roman" w:cs="Times New Roman"/>
        </w:rPr>
      </w:pPr>
      <w:r w:rsidRPr="00FB4B85">
        <w:rPr>
          <w:rFonts w:ascii="Times New Roman" w:hAnsi="Times New Roman" w:cs="Times New Roman"/>
        </w:rPr>
        <w:drawing>
          <wp:inline distT="0" distB="0" distL="0" distR="0" wp14:anchorId="61C24957" wp14:editId="75848789">
            <wp:extent cx="4610500" cy="3215919"/>
            <wp:effectExtent l="0" t="0" r="0" b="3810"/>
            <wp:docPr id="18104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1125" name=""/>
                    <pic:cNvPicPr/>
                  </pic:nvPicPr>
                  <pic:blipFill>
                    <a:blip r:embed="rId10"/>
                    <a:stretch>
                      <a:fillRect/>
                    </a:stretch>
                  </pic:blipFill>
                  <pic:spPr>
                    <a:xfrm>
                      <a:off x="0" y="0"/>
                      <a:ext cx="4610500" cy="3215919"/>
                    </a:xfrm>
                    <a:prstGeom prst="rect">
                      <a:avLst/>
                    </a:prstGeom>
                  </pic:spPr>
                </pic:pic>
              </a:graphicData>
            </a:graphic>
          </wp:inline>
        </w:drawing>
      </w:r>
      <w:r w:rsidRPr="00FB4B85">
        <w:rPr>
          <w:rFonts w:ascii="Times New Roman" w:hAnsi="Times New Roman" w:cs="Times New Roman"/>
        </w:rPr>
        <w:t>.</w:t>
      </w:r>
    </w:p>
    <w:p w14:paraId="526FEDF5"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26. Overall System Workflow</w:t>
      </w:r>
    </w:p>
    <w:p w14:paraId="263911A5" w14:textId="3F0AD7EC" w:rsidR="00FB4B85" w:rsidRPr="00FB4B85" w:rsidRDefault="00FB4B85" w:rsidP="00FB4B85">
      <w:pPr>
        <w:rPr>
          <w:rFonts w:ascii="Times New Roman" w:hAnsi="Times New Roman" w:cs="Times New Roman"/>
        </w:rPr>
      </w:pPr>
      <w:r w:rsidRPr="00FB4B85">
        <w:rPr>
          <w:rFonts w:ascii="Times New Roman" w:hAnsi="Times New Roman" w:cs="Times New Roman"/>
        </w:rPr>
        <w:drawing>
          <wp:inline distT="0" distB="0" distL="0" distR="0" wp14:anchorId="7FB0E0C0" wp14:editId="3FAB0F79">
            <wp:extent cx="4930567" cy="2834886"/>
            <wp:effectExtent l="0" t="0" r="3810" b="3810"/>
            <wp:docPr id="156383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35546" name=""/>
                    <pic:cNvPicPr/>
                  </pic:nvPicPr>
                  <pic:blipFill>
                    <a:blip r:embed="rId11"/>
                    <a:stretch>
                      <a:fillRect/>
                    </a:stretch>
                  </pic:blipFill>
                  <pic:spPr>
                    <a:xfrm>
                      <a:off x="0" y="0"/>
                      <a:ext cx="4930567" cy="2834886"/>
                    </a:xfrm>
                    <a:prstGeom prst="rect">
                      <a:avLst/>
                    </a:prstGeom>
                  </pic:spPr>
                </pic:pic>
              </a:graphicData>
            </a:graphic>
          </wp:inline>
        </w:drawing>
      </w:r>
      <w:r w:rsidRPr="00FB4B85">
        <w:rPr>
          <w:rFonts w:ascii="Times New Roman" w:hAnsi="Times New Roman" w:cs="Times New Roman"/>
        </w:rPr>
        <w:t>.</w:t>
      </w:r>
    </w:p>
    <w:p w14:paraId="2122A626"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27. Benefits</w:t>
      </w:r>
    </w:p>
    <w:p w14:paraId="494CB800" w14:textId="77777777" w:rsidR="00FB4B85" w:rsidRPr="00FB4B85" w:rsidRDefault="00FB4B85" w:rsidP="00FB4B85">
      <w:pPr>
        <w:numPr>
          <w:ilvl w:val="0"/>
          <w:numId w:val="114"/>
        </w:numPr>
        <w:rPr>
          <w:rFonts w:ascii="Times New Roman" w:hAnsi="Times New Roman" w:cs="Times New Roman"/>
        </w:rPr>
      </w:pPr>
      <w:r w:rsidRPr="00FB4B85">
        <w:rPr>
          <w:rFonts w:ascii="Times New Roman" w:hAnsi="Times New Roman" w:cs="Times New Roman"/>
        </w:rPr>
        <w:t>Centralized access to event-related information.</w:t>
      </w:r>
    </w:p>
    <w:p w14:paraId="1F3BBAAF" w14:textId="77777777" w:rsidR="00FB4B85" w:rsidRPr="00FB4B85" w:rsidRDefault="00FB4B85" w:rsidP="00FB4B85">
      <w:pPr>
        <w:numPr>
          <w:ilvl w:val="0"/>
          <w:numId w:val="114"/>
        </w:numPr>
        <w:rPr>
          <w:rFonts w:ascii="Times New Roman" w:hAnsi="Times New Roman" w:cs="Times New Roman"/>
        </w:rPr>
      </w:pPr>
      <w:r w:rsidRPr="00FB4B85">
        <w:rPr>
          <w:rFonts w:ascii="Times New Roman" w:hAnsi="Times New Roman" w:cs="Times New Roman"/>
        </w:rPr>
        <w:lastRenderedPageBreak/>
        <w:t>Structured client and vendor management.</w:t>
      </w:r>
    </w:p>
    <w:p w14:paraId="51758784" w14:textId="77777777" w:rsidR="00FB4B85" w:rsidRPr="00FB4B85" w:rsidRDefault="00FB4B85" w:rsidP="00FB4B85">
      <w:pPr>
        <w:numPr>
          <w:ilvl w:val="0"/>
          <w:numId w:val="114"/>
        </w:numPr>
        <w:rPr>
          <w:rFonts w:ascii="Times New Roman" w:hAnsi="Times New Roman" w:cs="Times New Roman"/>
        </w:rPr>
      </w:pPr>
      <w:r w:rsidRPr="00FB4B85">
        <w:rPr>
          <w:rFonts w:ascii="Times New Roman" w:hAnsi="Times New Roman" w:cs="Times New Roman"/>
        </w:rPr>
        <w:t>Clear event-resource relationships.</w:t>
      </w:r>
    </w:p>
    <w:p w14:paraId="24DCB8C8" w14:textId="77777777" w:rsidR="00FB4B85" w:rsidRPr="00FB4B85" w:rsidRDefault="00FB4B85" w:rsidP="00FB4B85">
      <w:pPr>
        <w:numPr>
          <w:ilvl w:val="0"/>
          <w:numId w:val="114"/>
        </w:numPr>
        <w:rPr>
          <w:rFonts w:ascii="Times New Roman" w:hAnsi="Times New Roman" w:cs="Times New Roman"/>
        </w:rPr>
      </w:pPr>
      <w:r w:rsidRPr="00FB4B85">
        <w:rPr>
          <w:rFonts w:ascii="Times New Roman" w:hAnsi="Times New Roman" w:cs="Times New Roman"/>
        </w:rPr>
        <w:t>Dedicated venue and availability information.</w:t>
      </w:r>
    </w:p>
    <w:p w14:paraId="42A9A4BA" w14:textId="77777777" w:rsidR="00FB4B85" w:rsidRPr="00FB4B85" w:rsidRDefault="00FB4B85" w:rsidP="00FB4B85">
      <w:pPr>
        <w:numPr>
          <w:ilvl w:val="0"/>
          <w:numId w:val="114"/>
        </w:numPr>
        <w:rPr>
          <w:rFonts w:ascii="Times New Roman" w:hAnsi="Times New Roman" w:cs="Times New Roman"/>
        </w:rPr>
      </w:pPr>
      <w:r w:rsidRPr="00FB4B85">
        <w:rPr>
          <w:rFonts w:ascii="Times New Roman" w:hAnsi="Times New Roman" w:cs="Times New Roman"/>
        </w:rPr>
        <w:t>Visible workflow activities.</w:t>
      </w:r>
    </w:p>
    <w:p w14:paraId="012145C5" w14:textId="77777777" w:rsidR="00FB4B85" w:rsidRPr="00FB4B85" w:rsidRDefault="00FB4B85" w:rsidP="00FB4B85">
      <w:pPr>
        <w:numPr>
          <w:ilvl w:val="0"/>
          <w:numId w:val="114"/>
        </w:numPr>
        <w:rPr>
          <w:rFonts w:ascii="Times New Roman" w:hAnsi="Times New Roman" w:cs="Times New Roman"/>
        </w:rPr>
      </w:pPr>
      <w:r w:rsidRPr="00FB4B85">
        <w:rPr>
          <w:rFonts w:ascii="Times New Roman" w:hAnsi="Times New Roman" w:cs="Times New Roman"/>
        </w:rPr>
        <w:t>Client feedback can be reviewed.</w:t>
      </w:r>
    </w:p>
    <w:p w14:paraId="747E5401" w14:textId="77777777" w:rsidR="00FB4B85" w:rsidRPr="00FB4B85" w:rsidRDefault="00FB4B85" w:rsidP="00FB4B85">
      <w:pPr>
        <w:numPr>
          <w:ilvl w:val="0"/>
          <w:numId w:val="114"/>
        </w:numPr>
        <w:rPr>
          <w:rFonts w:ascii="Times New Roman" w:hAnsi="Times New Roman" w:cs="Times New Roman"/>
        </w:rPr>
      </w:pPr>
      <w:r w:rsidRPr="00FB4B85">
        <w:rPr>
          <w:rFonts w:ascii="Times New Roman" w:hAnsi="Times New Roman" w:cs="Times New Roman"/>
        </w:rPr>
        <w:t>Dashboard and reports provide summaries.</w:t>
      </w:r>
    </w:p>
    <w:p w14:paraId="2D69A878"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28. Limitations</w:t>
      </w:r>
    </w:p>
    <w:p w14:paraId="4970DD95"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The supplied material mainly demonstrates the application interface and functional areas. It does not provide enough source evidence to document every backend technology, database schema, authentication implementation or deployment configuration. Therefore, this report describes only the functions visible in the supplied project material.</w:t>
      </w:r>
    </w:p>
    <w:p w14:paraId="09F17CBE"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29. Future Scope</w:t>
      </w:r>
    </w:p>
    <w:p w14:paraId="104B2FD0"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Proposed extensions include stronger role-based access control, automated notifications, richer report exports, advanced validation, expanded workflow rules and additional integrations. These are future improvements and are not presented as already implemented.</w:t>
      </w:r>
    </w:p>
    <w:p w14:paraId="2F75E72D" w14:textId="77777777" w:rsidR="00FB4B85" w:rsidRPr="00FB4B85" w:rsidRDefault="00FB4B85" w:rsidP="00FB4B85">
      <w:pPr>
        <w:rPr>
          <w:rFonts w:ascii="Times New Roman" w:hAnsi="Times New Roman" w:cs="Times New Roman"/>
          <w:b/>
          <w:bCs/>
        </w:rPr>
      </w:pPr>
      <w:r w:rsidRPr="00FB4B85">
        <w:rPr>
          <w:rFonts w:ascii="Times New Roman" w:hAnsi="Times New Roman" w:cs="Times New Roman"/>
          <w:b/>
          <w:bCs/>
        </w:rPr>
        <w:t>30. Final Conclusion</w:t>
      </w:r>
    </w:p>
    <w:p w14:paraId="59326E0E" w14:textId="77777777" w:rsidR="00FB4B85" w:rsidRPr="00FB4B85" w:rsidRDefault="00FB4B85" w:rsidP="00FB4B85">
      <w:pPr>
        <w:rPr>
          <w:rFonts w:ascii="Times New Roman" w:hAnsi="Times New Roman" w:cs="Times New Roman"/>
        </w:rPr>
      </w:pPr>
      <w:r w:rsidRPr="00FB4B85">
        <w:rPr>
          <w:rFonts w:ascii="Times New Roman" w:hAnsi="Times New Roman" w:cs="Times New Roman"/>
        </w:rPr>
        <w:t>EVENTFORCE demonstrates a centralized approach to event management by combining event, client, vendor, venue, relationship, workflow, feedback and reporting functions. The supplied screens show how these modules can work together to organize the event lifecycle and provide structured operational information.</w:t>
      </w:r>
    </w:p>
    <w:p w14:paraId="71DA1B3A"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1 Maintain records in the appropriate module. </w:t>
      </w:r>
    </w:p>
    <w:p w14:paraId="36B52E79"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2 Create and update the central event record. </w:t>
      </w:r>
    </w:p>
    <w:p w14:paraId="18DA05CB"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3 Coordinate venue and vendor resources. </w:t>
      </w:r>
    </w:p>
    <w:p w14:paraId="1366B5D3" w14:textId="77777777" w:rsidR="00FB4B85" w:rsidRDefault="00FB4B85" w:rsidP="00FB4B85">
      <w:pPr>
        <w:rPr>
          <w:rFonts w:ascii="Times New Roman" w:hAnsi="Times New Roman" w:cs="Times New Roman"/>
        </w:rPr>
      </w:pPr>
      <w:r w:rsidRPr="00FB4B85">
        <w:rPr>
          <w:rFonts w:ascii="Times New Roman" w:hAnsi="Times New Roman" w:cs="Times New Roman"/>
        </w:rPr>
        <w:t xml:space="preserve">STEP 4 Use workflow and approval functions when required. </w:t>
      </w:r>
    </w:p>
    <w:p w14:paraId="7EB4FE93" w14:textId="7F1CEAC0" w:rsidR="00FB4B85" w:rsidRPr="00FB4B85" w:rsidRDefault="00FB4B85" w:rsidP="00FB4B85">
      <w:pPr>
        <w:rPr>
          <w:rFonts w:ascii="Times New Roman" w:hAnsi="Times New Roman" w:cs="Times New Roman"/>
        </w:rPr>
      </w:pPr>
      <w:r w:rsidRPr="00FB4B85">
        <w:rPr>
          <w:rFonts w:ascii="Times New Roman" w:hAnsi="Times New Roman" w:cs="Times New Roman"/>
        </w:rPr>
        <w:t>STEP 5 Capture feedback and review dashboard/report information.</w:t>
      </w:r>
    </w:p>
    <w:p w14:paraId="6E271681" w14:textId="77777777" w:rsidR="00756A2E" w:rsidRDefault="00FB4B85" w:rsidP="003C71DC">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193C28D6" wp14:editId="53F64C45">
            <wp:extent cx="5943600" cy="3007360"/>
            <wp:effectExtent l="0" t="0" r="0" b="2540"/>
            <wp:docPr id="16826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49201" name="Picture 1682649201"/>
                    <pic:cNvPicPr/>
                  </pic:nvPicPr>
                  <pic:blipFill>
                    <a:blip r:embed="rId12"/>
                    <a:stretch>
                      <a:fillRect/>
                    </a:stretch>
                  </pic:blipFill>
                  <pic:spPr>
                    <a:xfrm>
                      <a:off x="0" y="0"/>
                      <a:ext cx="5943600" cy="3007360"/>
                    </a:xfrm>
                    <a:prstGeom prst="rect">
                      <a:avLst/>
                    </a:prstGeom>
                  </pic:spPr>
                </pic:pic>
              </a:graphicData>
            </a:graphic>
          </wp:inline>
        </w:drawing>
      </w:r>
      <w:r>
        <w:rPr>
          <w:rFonts w:ascii="Times New Roman" w:hAnsi="Times New Roman" w:cs="Times New Roman"/>
          <w:noProof/>
        </w:rPr>
        <w:drawing>
          <wp:inline distT="0" distB="0" distL="0" distR="0" wp14:anchorId="4F767574" wp14:editId="5C5339C5">
            <wp:extent cx="5943600" cy="3026410"/>
            <wp:effectExtent l="0" t="0" r="0" b="2540"/>
            <wp:docPr id="2097827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7577" name="Picture 2097827577"/>
                    <pic:cNvPicPr/>
                  </pic:nvPicPr>
                  <pic:blipFill>
                    <a:blip r:embed="rId13"/>
                    <a:stretch>
                      <a:fillRect/>
                    </a:stretch>
                  </pic:blipFill>
                  <pic:spPr>
                    <a:xfrm>
                      <a:off x="0" y="0"/>
                      <a:ext cx="5943600" cy="3026410"/>
                    </a:xfrm>
                    <a:prstGeom prst="rect">
                      <a:avLst/>
                    </a:prstGeom>
                  </pic:spPr>
                </pic:pic>
              </a:graphicData>
            </a:graphic>
          </wp:inline>
        </w:drawing>
      </w:r>
      <w:r>
        <w:rPr>
          <w:rFonts w:ascii="Times New Roman" w:hAnsi="Times New Roman" w:cs="Times New Roman"/>
          <w:noProof/>
        </w:rPr>
        <w:lastRenderedPageBreak/>
        <w:drawing>
          <wp:anchor distT="0" distB="0" distL="114300" distR="114300" simplePos="0" relativeHeight="251654656" behindDoc="0" locked="0" layoutInCell="1" allowOverlap="1" wp14:anchorId="1C41ADDE" wp14:editId="5C91D6AC">
            <wp:simplePos x="0" y="0"/>
            <wp:positionH relativeFrom="column">
              <wp:posOffset>0</wp:posOffset>
            </wp:positionH>
            <wp:positionV relativeFrom="paragraph">
              <wp:posOffset>0</wp:posOffset>
            </wp:positionV>
            <wp:extent cx="5943600" cy="2768600"/>
            <wp:effectExtent l="0" t="0" r="0" b="0"/>
            <wp:wrapThrough wrapText="bothSides">
              <wp:wrapPolygon edited="0">
                <wp:start x="0" y="0"/>
                <wp:lineTo x="0" y="21402"/>
                <wp:lineTo x="21531" y="21402"/>
                <wp:lineTo x="21531" y="0"/>
                <wp:lineTo x="0" y="0"/>
              </wp:wrapPolygon>
            </wp:wrapThrough>
            <wp:docPr id="55015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7490" name="Picture 550157490"/>
                    <pic:cNvPicPr/>
                  </pic:nvPicPr>
                  <pic:blipFill>
                    <a:blip r:embed="rId14"/>
                    <a:stretch>
                      <a:fillRect/>
                    </a:stretch>
                  </pic:blipFill>
                  <pic:spPr>
                    <a:xfrm>
                      <a:off x="0" y="0"/>
                      <a:ext cx="5943600" cy="2768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0288" behindDoc="0" locked="0" layoutInCell="1" allowOverlap="1" wp14:anchorId="30751B55" wp14:editId="65A721D8">
            <wp:simplePos x="0" y="0"/>
            <wp:positionH relativeFrom="column">
              <wp:posOffset>0</wp:posOffset>
            </wp:positionH>
            <wp:positionV relativeFrom="paragraph">
              <wp:posOffset>5689600</wp:posOffset>
            </wp:positionV>
            <wp:extent cx="5943600" cy="3007360"/>
            <wp:effectExtent l="0" t="0" r="0" b="2540"/>
            <wp:wrapThrough wrapText="bothSides">
              <wp:wrapPolygon edited="0">
                <wp:start x="0" y="0"/>
                <wp:lineTo x="0" y="21481"/>
                <wp:lineTo x="21531" y="21481"/>
                <wp:lineTo x="21531" y="0"/>
                <wp:lineTo x="0" y="0"/>
              </wp:wrapPolygon>
            </wp:wrapThrough>
            <wp:docPr id="1673884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84430" name="Picture 1673884430"/>
                    <pic:cNvPicPr/>
                  </pic:nvPicPr>
                  <pic:blipFill>
                    <a:blip r:embed="rId15"/>
                    <a:stretch>
                      <a:fillRect/>
                    </a:stretch>
                  </pic:blipFill>
                  <pic:spPr>
                    <a:xfrm>
                      <a:off x="0" y="0"/>
                      <a:ext cx="5943600" cy="30073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inline distT="0" distB="0" distL="0" distR="0" wp14:anchorId="3F3E9AD6" wp14:editId="340233DA">
            <wp:extent cx="5943600" cy="2811780"/>
            <wp:effectExtent l="0" t="0" r="0" b="7620"/>
            <wp:docPr id="331371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71503" name="Picture 331371503"/>
                    <pic:cNvPicPr/>
                  </pic:nvPicPr>
                  <pic:blipFill>
                    <a:blip r:embed="rId16"/>
                    <a:stretch>
                      <a:fillRect/>
                    </a:stretch>
                  </pic:blipFill>
                  <pic:spPr>
                    <a:xfrm>
                      <a:off x="0" y="0"/>
                      <a:ext cx="5943600" cy="2811780"/>
                    </a:xfrm>
                    <a:prstGeom prst="rect">
                      <a:avLst/>
                    </a:prstGeom>
                  </pic:spPr>
                </pic:pic>
              </a:graphicData>
            </a:graphic>
          </wp:inline>
        </w:drawing>
      </w:r>
      <w:r>
        <w:rPr>
          <w:rFonts w:ascii="Times New Roman" w:hAnsi="Times New Roman" w:cs="Times New Roman"/>
          <w:noProof/>
        </w:rPr>
        <w:lastRenderedPageBreak/>
        <w:drawing>
          <wp:inline distT="0" distB="0" distL="0" distR="0" wp14:anchorId="76B0B54D" wp14:editId="7829622B">
            <wp:extent cx="5943600" cy="3001645"/>
            <wp:effectExtent l="0" t="0" r="0" b="8255"/>
            <wp:docPr id="1487691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91762" name="Picture 1487691762"/>
                    <pic:cNvPicPr/>
                  </pic:nvPicPr>
                  <pic:blipFill>
                    <a:blip r:embed="rId17"/>
                    <a:stretch>
                      <a:fillRect/>
                    </a:stretch>
                  </pic:blipFill>
                  <pic:spPr>
                    <a:xfrm>
                      <a:off x="0" y="0"/>
                      <a:ext cx="5943600" cy="3001645"/>
                    </a:xfrm>
                    <a:prstGeom prst="rect">
                      <a:avLst/>
                    </a:prstGeom>
                  </pic:spPr>
                </pic:pic>
              </a:graphicData>
            </a:graphic>
          </wp:inline>
        </w:drawing>
      </w:r>
    </w:p>
    <w:p w14:paraId="241B1F15" w14:textId="2FF892DE" w:rsidR="00D25405" w:rsidRPr="00FB4B85" w:rsidRDefault="00FB4B85" w:rsidP="003C71DC">
      <w:pPr>
        <w:rPr>
          <w:rFonts w:ascii="Times New Roman" w:hAnsi="Times New Roman" w:cs="Times New Roman"/>
        </w:rPr>
      </w:pPr>
      <w:r>
        <w:rPr>
          <w:rFonts w:ascii="Times New Roman" w:hAnsi="Times New Roman" w:cs="Times New Roman"/>
          <w:noProof/>
        </w:rPr>
        <w:drawing>
          <wp:anchor distT="0" distB="0" distL="114300" distR="114300" simplePos="0" relativeHeight="251659776" behindDoc="0" locked="0" layoutInCell="1" allowOverlap="1" wp14:anchorId="0735CA61" wp14:editId="3DC561B4">
            <wp:simplePos x="0" y="0"/>
            <wp:positionH relativeFrom="column">
              <wp:posOffset>0</wp:posOffset>
            </wp:positionH>
            <wp:positionV relativeFrom="paragraph">
              <wp:posOffset>3007360</wp:posOffset>
            </wp:positionV>
            <wp:extent cx="5873750" cy="2468245"/>
            <wp:effectExtent l="0" t="0" r="0" b="8255"/>
            <wp:wrapThrough wrapText="bothSides">
              <wp:wrapPolygon edited="0">
                <wp:start x="0" y="0"/>
                <wp:lineTo x="0" y="21506"/>
                <wp:lineTo x="21507" y="21506"/>
                <wp:lineTo x="21507" y="0"/>
                <wp:lineTo x="0" y="0"/>
              </wp:wrapPolygon>
            </wp:wrapThrough>
            <wp:docPr id="675091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1683" name="Picture 675091683"/>
                    <pic:cNvPicPr/>
                  </pic:nvPicPr>
                  <pic:blipFill>
                    <a:blip r:embed="rId18"/>
                    <a:stretch>
                      <a:fillRect/>
                    </a:stretch>
                  </pic:blipFill>
                  <pic:spPr>
                    <a:xfrm>
                      <a:off x="0" y="0"/>
                      <a:ext cx="5873750" cy="24682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inline distT="0" distB="0" distL="0" distR="0" wp14:anchorId="54528B54" wp14:editId="39231030">
            <wp:extent cx="5943600" cy="2811780"/>
            <wp:effectExtent l="0" t="0" r="0" b="7620"/>
            <wp:docPr id="321967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67197" name="Picture 321967197"/>
                    <pic:cNvPicPr/>
                  </pic:nvPicPr>
                  <pic:blipFill>
                    <a:blip r:embed="rId19"/>
                    <a:stretch>
                      <a:fillRect/>
                    </a:stretch>
                  </pic:blipFill>
                  <pic:spPr>
                    <a:xfrm>
                      <a:off x="0" y="0"/>
                      <a:ext cx="5943600" cy="2811780"/>
                    </a:xfrm>
                    <a:prstGeom prst="rect">
                      <a:avLst/>
                    </a:prstGeom>
                  </pic:spPr>
                </pic:pic>
              </a:graphicData>
            </a:graphic>
          </wp:inline>
        </w:drawing>
      </w:r>
    </w:p>
    <w:sectPr w:rsidR="00D25405" w:rsidRPr="00FB4B85" w:rsidSect="00F51CB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30523F"/>
    <w:multiLevelType w:val="multilevel"/>
    <w:tmpl w:val="0B9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E588D"/>
    <w:multiLevelType w:val="multilevel"/>
    <w:tmpl w:val="A22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6099C"/>
    <w:multiLevelType w:val="multilevel"/>
    <w:tmpl w:val="8BC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5500C"/>
    <w:multiLevelType w:val="multilevel"/>
    <w:tmpl w:val="48D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578FF"/>
    <w:multiLevelType w:val="multilevel"/>
    <w:tmpl w:val="4B6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676E7"/>
    <w:multiLevelType w:val="multilevel"/>
    <w:tmpl w:val="8806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52E51"/>
    <w:multiLevelType w:val="multilevel"/>
    <w:tmpl w:val="269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A11E5"/>
    <w:multiLevelType w:val="multilevel"/>
    <w:tmpl w:val="6D3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B17F7"/>
    <w:multiLevelType w:val="multilevel"/>
    <w:tmpl w:val="05D2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F7CF7"/>
    <w:multiLevelType w:val="multilevel"/>
    <w:tmpl w:val="E47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C65B1"/>
    <w:multiLevelType w:val="multilevel"/>
    <w:tmpl w:val="F0BE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E03476"/>
    <w:multiLevelType w:val="multilevel"/>
    <w:tmpl w:val="AAE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943F8"/>
    <w:multiLevelType w:val="multilevel"/>
    <w:tmpl w:val="AA4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05233"/>
    <w:multiLevelType w:val="multilevel"/>
    <w:tmpl w:val="8C7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F0659"/>
    <w:multiLevelType w:val="multilevel"/>
    <w:tmpl w:val="8C2E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9785E"/>
    <w:multiLevelType w:val="multilevel"/>
    <w:tmpl w:val="116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20B42"/>
    <w:multiLevelType w:val="multilevel"/>
    <w:tmpl w:val="225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10B5E"/>
    <w:multiLevelType w:val="multilevel"/>
    <w:tmpl w:val="6A8C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20600"/>
    <w:multiLevelType w:val="multilevel"/>
    <w:tmpl w:val="B32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725A9"/>
    <w:multiLevelType w:val="multilevel"/>
    <w:tmpl w:val="DA1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371F0"/>
    <w:multiLevelType w:val="multilevel"/>
    <w:tmpl w:val="95BC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97F9E"/>
    <w:multiLevelType w:val="multilevel"/>
    <w:tmpl w:val="418C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6C4742"/>
    <w:multiLevelType w:val="multilevel"/>
    <w:tmpl w:val="C14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7163D9"/>
    <w:multiLevelType w:val="multilevel"/>
    <w:tmpl w:val="7FE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E56086"/>
    <w:multiLevelType w:val="multilevel"/>
    <w:tmpl w:val="76BE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93EE6"/>
    <w:multiLevelType w:val="multilevel"/>
    <w:tmpl w:val="8F60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F225D"/>
    <w:multiLevelType w:val="multilevel"/>
    <w:tmpl w:val="E1C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CC1AF9"/>
    <w:multiLevelType w:val="multilevel"/>
    <w:tmpl w:val="D23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0D29D1"/>
    <w:multiLevelType w:val="multilevel"/>
    <w:tmpl w:val="D682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255AD"/>
    <w:multiLevelType w:val="multilevel"/>
    <w:tmpl w:val="185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B77F6"/>
    <w:multiLevelType w:val="multilevel"/>
    <w:tmpl w:val="DB8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371BC3"/>
    <w:multiLevelType w:val="multilevel"/>
    <w:tmpl w:val="848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02FC4"/>
    <w:multiLevelType w:val="multilevel"/>
    <w:tmpl w:val="6B3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05B21"/>
    <w:multiLevelType w:val="multilevel"/>
    <w:tmpl w:val="96BA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A453BD"/>
    <w:multiLevelType w:val="multilevel"/>
    <w:tmpl w:val="602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6203B"/>
    <w:multiLevelType w:val="multilevel"/>
    <w:tmpl w:val="68B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C752E"/>
    <w:multiLevelType w:val="multilevel"/>
    <w:tmpl w:val="70B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0A0558"/>
    <w:multiLevelType w:val="multilevel"/>
    <w:tmpl w:val="60B8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39184A"/>
    <w:multiLevelType w:val="multilevel"/>
    <w:tmpl w:val="1DE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75EBD"/>
    <w:multiLevelType w:val="multilevel"/>
    <w:tmpl w:val="7E68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E62D06"/>
    <w:multiLevelType w:val="multilevel"/>
    <w:tmpl w:val="FD6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2B712D"/>
    <w:multiLevelType w:val="multilevel"/>
    <w:tmpl w:val="293E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35E35"/>
    <w:multiLevelType w:val="multilevel"/>
    <w:tmpl w:val="DA9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C405CC"/>
    <w:multiLevelType w:val="multilevel"/>
    <w:tmpl w:val="21E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E0309D"/>
    <w:multiLevelType w:val="multilevel"/>
    <w:tmpl w:val="52E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625295"/>
    <w:multiLevelType w:val="multilevel"/>
    <w:tmpl w:val="AB52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F60A6C"/>
    <w:multiLevelType w:val="multilevel"/>
    <w:tmpl w:val="DFE6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136081"/>
    <w:multiLevelType w:val="multilevel"/>
    <w:tmpl w:val="ED6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8C05A9"/>
    <w:multiLevelType w:val="multilevel"/>
    <w:tmpl w:val="B4CC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B40306"/>
    <w:multiLevelType w:val="multilevel"/>
    <w:tmpl w:val="750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6A2B71"/>
    <w:multiLevelType w:val="multilevel"/>
    <w:tmpl w:val="6EC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172652"/>
    <w:multiLevelType w:val="multilevel"/>
    <w:tmpl w:val="920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06711"/>
    <w:multiLevelType w:val="multilevel"/>
    <w:tmpl w:val="649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3620B7"/>
    <w:multiLevelType w:val="multilevel"/>
    <w:tmpl w:val="701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57076"/>
    <w:multiLevelType w:val="multilevel"/>
    <w:tmpl w:val="403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C71E44"/>
    <w:multiLevelType w:val="multilevel"/>
    <w:tmpl w:val="AD5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0C48DA"/>
    <w:multiLevelType w:val="multilevel"/>
    <w:tmpl w:val="0F7A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BE79F5"/>
    <w:multiLevelType w:val="multilevel"/>
    <w:tmpl w:val="132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CA26D2"/>
    <w:multiLevelType w:val="multilevel"/>
    <w:tmpl w:val="F2DA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EF61DB"/>
    <w:multiLevelType w:val="multilevel"/>
    <w:tmpl w:val="D60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0C5BE0"/>
    <w:multiLevelType w:val="multilevel"/>
    <w:tmpl w:val="C00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075A9B"/>
    <w:multiLevelType w:val="multilevel"/>
    <w:tmpl w:val="7C46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5B4DDE"/>
    <w:multiLevelType w:val="multilevel"/>
    <w:tmpl w:val="041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E54AB8"/>
    <w:multiLevelType w:val="multilevel"/>
    <w:tmpl w:val="831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015850"/>
    <w:multiLevelType w:val="multilevel"/>
    <w:tmpl w:val="87F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5742E8"/>
    <w:multiLevelType w:val="multilevel"/>
    <w:tmpl w:val="E56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976077"/>
    <w:multiLevelType w:val="multilevel"/>
    <w:tmpl w:val="DBC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F44E9F"/>
    <w:multiLevelType w:val="multilevel"/>
    <w:tmpl w:val="EF3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1C438E"/>
    <w:multiLevelType w:val="multilevel"/>
    <w:tmpl w:val="DFF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5D38C1"/>
    <w:multiLevelType w:val="multilevel"/>
    <w:tmpl w:val="215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781F2B"/>
    <w:multiLevelType w:val="multilevel"/>
    <w:tmpl w:val="C29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393331"/>
    <w:multiLevelType w:val="multilevel"/>
    <w:tmpl w:val="3DB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0B20AE"/>
    <w:multiLevelType w:val="multilevel"/>
    <w:tmpl w:val="B816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DD047D"/>
    <w:multiLevelType w:val="multilevel"/>
    <w:tmpl w:val="9F2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1F0DA5"/>
    <w:multiLevelType w:val="multilevel"/>
    <w:tmpl w:val="330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001E82"/>
    <w:multiLevelType w:val="multilevel"/>
    <w:tmpl w:val="3112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DF4A61"/>
    <w:multiLevelType w:val="multilevel"/>
    <w:tmpl w:val="59CA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E002C8"/>
    <w:multiLevelType w:val="multilevel"/>
    <w:tmpl w:val="E884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76092E"/>
    <w:multiLevelType w:val="multilevel"/>
    <w:tmpl w:val="BF1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F1CB3"/>
    <w:multiLevelType w:val="multilevel"/>
    <w:tmpl w:val="4FF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2A410A"/>
    <w:multiLevelType w:val="multilevel"/>
    <w:tmpl w:val="D1DC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F42B6E"/>
    <w:multiLevelType w:val="multilevel"/>
    <w:tmpl w:val="C006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1164FE"/>
    <w:multiLevelType w:val="multilevel"/>
    <w:tmpl w:val="5EC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CD21B6"/>
    <w:multiLevelType w:val="multilevel"/>
    <w:tmpl w:val="D0B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8B248B"/>
    <w:multiLevelType w:val="multilevel"/>
    <w:tmpl w:val="3B2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EA3011"/>
    <w:multiLevelType w:val="multilevel"/>
    <w:tmpl w:val="64B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512724"/>
    <w:multiLevelType w:val="multilevel"/>
    <w:tmpl w:val="6FAA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995C85"/>
    <w:multiLevelType w:val="multilevel"/>
    <w:tmpl w:val="370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6C034B"/>
    <w:multiLevelType w:val="multilevel"/>
    <w:tmpl w:val="E2B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1902ED"/>
    <w:multiLevelType w:val="multilevel"/>
    <w:tmpl w:val="BE8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527C7A"/>
    <w:multiLevelType w:val="multilevel"/>
    <w:tmpl w:val="62C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945696"/>
    <w:multiLevelType w:val="multilevel"/>
    <w:tmpl w:val="EB8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570516"/>
    <w:multiLevelType w:val="multilevel"/>
    <w:tmpl w:val="92D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D124F6"/>
    <w:multiLevelType w:val="multilevel"/>
    <w:tmpl w:val="485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3D2686"/>
    <w:multiLevelType w:val="multilevel"/>
    <w:tmpl w:val="534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AF2687"/>
    <w:multiLevelType w:val="multilevel"/>
    <w:tmpl w:val="68F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AB4F22"/>
    <w:multiLevelType w:val="multilevel"/>
    <w:tmpl w:val="065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3C4ECC"/>
    <w:multiLevelType w:val="multilevel"/>
    <w:tmpl w:val="74E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AC254F"/>
    <w:multiLevelType w:val="multilevel"/>
    <w:tmpl w:val="10A04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D26B42"/>
    <w:multiLevelType w:val="multilevel"/>
    <w:tmpl w:val="2D3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1147B1"/>
    <w:multiLevelType w:val="multilevel"/>
    <w:tmpl w:val="174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295E9F"/>
    <w:multiLevelType w:val="multilevel"/>
    <w:tmpl w:val="78C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50274B"/>
    <w:multiLevelType w:val="multilevel"/>
    <w:tmpl w:val="2F8C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5D04C7"/>
    <w:multiLevelType w:val="multilevel"/>
    <w:tmpl w:val="0EA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9D0908"/>
    <w:multiLevelType w:val="multilevel"/>
    <w:tmpl w:val="3BD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FC2F63"/>
    <w:multiLevelType w:val="multilevel"/>
    <w:tmpl w:val="3436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57388C"/>
    <w:multiLevelType w:val="multilevel"/>
    <w:tmpl w:val="05D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E85D5A"/>
    <w:multiLevelType w:val="multilevel"/>
    <w:tmpl w:val="275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601774">
    <w:abstractNumId w:val="5"/>
  </w:num>
  <w:num w:numId="2" w16cid:durableId="702706563">
    <w:abstractNumId w:val="3"/>
  </w:num>
  <w:num w:numId="3" w16cid:durableId="1811703045">
    <w:abstractNumId w:val="2"/>
  </w:num>
  <w:num w:numId="4" w16cid:durableId="53285007">
    <w:abstractNumId w:val="4"/>
  </w:num>
  <w:num w:numId="5" w16cid:durableId="2016835163">
    <w:abstractNumId w:val="1"/>
  </w:num>
  <w:num w:numId="6" w16cid:durableId="1001659012">
    <w:abstractNumId w:val="0"/>
  </w:num>
  <w:num w:numId="7" w16cid:durableId="1026442017">
    <w:abstractNumId w:val="12"/>
  </w:num>
  <w:num w:numId="8" w16cid:durableId="1893884577">
    <w:abstractNumId w:val="18"/>
  </w:num>
  <w:num w:numId="9" w16cid:durableId="1869021668">
    <w:abstractNumId w:val="9"/>
  </w:num>
  <w:num w:numId="10" w16cid:durableId="963078601">
    <w:abstractNumId w:val="49"/>
  </w:num>
  <w:num w:numId="11" w16cid:durableId="1423336881">
    <w:abstractNumId w:val="14"/>
  </w:num>
  <w:num w:numId="12" w16cid:durableId="1704748978">
    <w:abstractNumId w:val="17"/>
  </w:num>
  <w:num w:numId="13" w16cid:durableId="343174194">
    <w:abstractNumId w:val="101"/>
  </w:num>
  <w:num w:numId="14" w16cid:durableId="654921835">
    <w:abstractNumId w:val="25"/>
  </w:num>
  <w:num w:numId="15" w16cid:durableId="966542171">
    <w:abstractNumId w:val="98"/>
  </w:num>
  <w:num w:numId="16" w16cid:durableId="324746804">
    <w:abstractNumId w:val="50"/>
  </w:num>
  <w:num w:numId="17" w16cid:durableId="507672085">
    <w:abstractNumId w:val="8"/>
  </w:num>
  <w:num w:numId="18" w16cid:durableId="1840534634">
    <w:abstractNumId w:val="71"/>
  </w:num>
  <w:num w:numId="19" w16cid:durableId="846362675">
    <w:abstractNumId w:val="64"/>
  </w:num>
  <w:num w:numId="20" w16cid:durableId="168377091">
    <w:abstractNumId w:val="23"/>
  </w:num>
  <w:num w:numId="21" w16cid:durableId="935988478">
    <w:abstractNumId w:val="48"/>
  </w:num>
  <w:num w:numId="22" w16cid:durableId="59792601">
    <w:abstractNumId w:val="21"/>
  </w:num>
  <w:num w:numId="23" w16cid:durableId="1142499880">
    <w:abstractNumId w:val="59"/>
  </w:num>
  <w:num w:numId="24" w16cid:durableId="1921282183">
    <w:abstractNumId w:val="100"/>
  </w:num>
  <w:num w:numId="25" w16cid:durableId="982080444">
    <w:abstractNumId w:val="32"/>
  </w:num>
  <w:num w:numId="26" w16cid:durableId="1492789597">
    <w:abstractNumId w:val="112"/>
  </w:num>
  <w:num w:numId="27" w16cid:durableId="2026469414">
    <w:abstractNumId w:val="113"/>
  </w:num>
  <w:num w:numId="28" w16cid:durableId="661274502">
    <w:abstractNumId w:val="29"/>
  </w:num>
  <w:num w:numId="29" w16cid:durableId="2057776738">
    <w:abstractNumId w:val="74"/>
  </w:num>
  <w:num w:numId="30" w16cid:durableId="229774267">
    <w:abstractNumId w:val="41"/>
  </w:num>
  <w:num w:numId="31" w16cid:durableId="1054698447">
    <w:abstractNumId w:val="56"/>
  </w:num>
  <w:num w:numId="32" w16cid:durableId="46226309">
    <w:abstractNumId w:val="63"/>
  </w:num>
  <w:num w:numId="33" w16cid:durableId="1395590995">
    <w:abstractNumId w:val="60"/>
  </w:num>
  <w:num w:numId="34" w16cid:durableId="1210460759">
    <w:abstractNumId w:val="42"/>
  </w:num>
  <w:num w:numId="35" w16cid:durableId="781807348">
    <w:abstractNumId w:val="67"/>
  </w:num>
  <w:num w:numId="36" w16cid:durableId="1978026070">
    <w:abstractNumId w:val="97"/>
  </w:num>
  <w:num w:numId="37" w16cid:durableId="1315839106">
    <w:abstractNumId w:val="77"/>
  </w:num>
  <w:num w:numId="38" w16cid:durableId="1600478921">
    <w:abstractNumId w:val="102"/>
  </w:num>
  <w:num w:numId="39" w16cid:durableId="1500660314">
    <w:abstractNumId w:val="34"/>
  </w:num>
  <w:num w:numId="40" w16cid:durableId="1305113072">
    <w:abstractNumId w:val="73"/>
  </w:num>
  <w:num w:numId="41" w16cid:durableId="1333988924">
    <w:abstractNumId w:val="80"/>
  </w:num>
  <w:num w:numId="42" w16cid:durableId="854228435">
    <w:abstractNumId w:val="62"/>
  </w:num>
  <w:num w:numId="43" w16cid:durableId="2129885856">
    <w:abstractNumId w:val="91"/>
  </w:num>
  <w:num w:numId="44" w16cid:durableId="208076981">
    <w:abstractNumId w:val="31"/>
  </w:num>
  <w:num w:numId="45" w16cid:durableId="517238928">
    <w:abstractNumId w:val="78"/>
  </w:num>
  <w:num w:numId="46" w16cid:durableId="1453014027">
    <w:abstractNumId w:val="11"/>
  </w:num>
  <w:num w:numId="47" w16cid:durableId="1449205854">
    <w:abstractNumId w:val="43"/>
  </w:num>
  <w:num w:numId="48" w16cid:durableId="962615816">
    <w:abstractNumId w:val="54"/>
  </w:num>
  <w:num w:numId="49" w16cid:durableId="958991754">
    <w:abstractNumId w:val="47"/>
  </w:num>
  <w:num w:numId="50" w16cid:durableId="905265261">
    <w:abstractNumId w:val="40"/>
  </w:num>
  <w:num w:numId="51" w16cid:durableId="37778873">
    <w:abstractNumId w:val="84"/>
  </w:num>
  <w:num w:numId="52" w16cid:durableId="1082022602">
    <w:abstractNumId w:val="108"/>
  </w:num>
  <w:num w:numId="53" w16cid:durableId="2023244236">
    <w:abstractNumId w:val="69"/>
  </w:num>
  <w:num w:numId="54" w16cid:durableId="654838776">
    <w:abstractNumId w:val="95"/>
  </w:num>
  <w:num w:numId="55" w16cid:durableId="110902499">
    <w:abstractNumId w:val="92"/>
  </w:num>
  <w:num w:numId="56" w16cid:durableId="1645544012">
    <w:abstractNumId w:val="35"/>
  </w:num>
  <w:num w:numId="57" w16cid:durableId="1363898770">
    <w:abstractNumId w:val="75"/>
  </w:num>
  <w:num w:numId="58" w16cid:durableId="1822386990">
    <w:abstractNumId w:val="70"/>
  </w:num>
  <w:num w:numId="59" w16cid:durableId="35395297">
    <w:abstractNumId w:val="26"/>
  </w:num>
  <w:num w:numId="60" w16cid:durableId="2100901110">
    <w:abstractNumId w:val="79"/>
  </w:num>
  <w:num w:numId="61" w16cid:durableId="2006856445">
    <w:abstractNumId w:val="103"/>
  </w:num>
  <w:num w:numId="62" w16cid:durableId="16661477">
    <w:abstractNumId w:val="85"/>
  </w:num>
  <w:num w:numId="63" w16cid:durableId="1594052765">
    <w:abstractNumId w:val="99"/>
  </w:num>
  <w:num w:numId="64" w16cid:durableId="1852181653">
    <w:abstractNumId w:val="104"/>
  </w:num>
  <w:num w:numId="65" w16cid:durableId="2089225510">
    <w:abstractNumId w:val="82"/>
  </w:num>
  <w:num w:numId="66" w16cid:durableId="1471942530">
    <w:abstractNumId w:val="24"/>
  </w:num>
  <w:num w:numId="67" w16cid:durableId="1327979950">
    <w:abstractNumId w:val="46"/>
  </w:num>
  <w:num w:numId="68" w16cid:durableId="1088963001">
    <w:abstractNumId w:val="45"/>
  </w:num>
  <w:num w:numId="69" w16cid:durableId="410854231">
    <w:abstractNumId w:val="15"/>
  </w:num>
  <w:num w:numId="70" w16cid:durableId="707022775">
    <w:abstractNumId w:val="111"/>
  </w:num>
  <w:num w:numId="71" w16cid:durableId="964501599">
    <w:abstractNumId w:val="105"/>
  </w:num>
  <w:num w:numId="72" w16cid:durableId="955016583">
    <w:abstractNumId w:val="20"/>
  </w:num>
  <w:num w:numId="73" w16cid:durableId="1352532360">
    <w:abstractNumId w:val="22"/>
  </w:num>
  <w:num w:numId="74" w16cid:durableId="1059282553">
    <w:abstractNumId w:val="90"/>
  </w:num>
  <w:num w:numId="75" w16cid:durableId="990249850">
    <w:abstractNumId w:val="10"/>
  </w:num>
  <w:num w:numId="76" w16cid:durableId="1411973161">
    <w:abstractNumId w:val="94"/>
  </w:num>
  <w:num w:numId="77" w16cid:durableId="598368765">
    <w:abstractNumId w:val="87"/>
  </w:num>
  <w:num w:numId="78" w16cid:durableId="1962764304">
    <w:abstractNumId w:val="109"/>
  </w:num>
  <w:num w:numId="79" w16cid:durableId="1610234415">
    <w:abstractNumId w:val="107"/>
  </w:num>
  <w:num w:numId="80" w16cid:durableId="407650822">
    <w:abstractNumId w:val="89"/>
  </w:num>
  <w:num w:numId="81" w16cid:durableId="687801041">
    <w:abstractNumId w:val="27"/>
  </w:num>
  <w:num w:numId="82" w16cid:durableId="388115626">
    <w:abstractNumId w:val="55"/>
  </w:num>
  <w:num w:numId="83" w16cid:durableId="2011515764">
    <w:abstractNumId w:val="39"/>
  </w:num>
  <w:num w:numId="84" w16cid:durableId="1800416022">
    <w:abstractNumId w:val="88"/>
  </w:num>
  <w:num w:numId="85" w16cid:durableId="4523781">
    <w:abstractNumId w:val="38"/>
  </w:num>
  <w:num w:numId="86" w16cid:durableId="1767384654">
    <w:abstractNumId w:val="110"/>
  </w:num>
  <w:num w:numId="87" w16cid:durableId="363944363">
    <w:abstractNumId w:val="57"/>
  </w:num>
  <w:num w:numId="88" w16cid:durableId="108623423">
    <w:abstractNumId w:val="66"/>
  </w:num>
  <w:num w:numId="89" w16cid:durableId="943880927">
    <w:abstractNumId w:val="19"/>
  </w:num>
  <w:num w:numId="90" w16cid:durableId="36777615">
    <w:abstractNumId w:val="36"/>
  </w:num>
  <w:num w:numId="91" w16cid:durableId="1977031215">
    <w:abstractNumId w:val="96"/>
  </w:num>
  <w:num w:numId="92" w16cid:durableId="82652191">
    <w:abstractNumId w:val="53"/>
  </w:num>
  <w:num w:numId="93" w16cid:durableId="2133479115">
    <w:abstractNumId w:val="81"/>
  </w:num>
  <w:num w:numId="94" w16cid:durableId="1599436832">
    <w:abstractNumId w:val="16"/>
  </w:num>
  <w:num w:numId="95" w16cid:durableId="2030452918">
    <w:abstractNumId w:val="52"/>
  </w:num>
  <w:num w:numId="96" w16cid:durableId="232740986">
    <w:abstractNumId w:val="68"/>
  </w:num>
  <w:num w:numId="97" w16cid:durableId="1723360002">
    <w:abstractNumId w:val="7"/>
  </w:num>
  <w:num w:numId="98" w16cid:durableId="1492015320">
    <w:abstractNumId w:val="30"/>
  </w:num>
  <w:num w:numId="99" w16cid:durableId="1191064301">
    <w:abstractNumId w:val="44"/>
  </w:num>
  <w:num w:numId="100" w16cid:durableId="1574504689">
    <w:abstractNumId w:val="93"/>
  </w:num>
  <w:num w:numId="101" w16cid:durableId="1921674268">
    <w:abstractNumId w:val="65"/>
  </w:num>
  <w:num w:numId="102" w16cid:durableId="1150288939">
    <w:abstractNumId w:val="72"/>
  </w:num>
  <w:num w:numId="103" w16cid:durableId="975067945">
    <w:abstractNumId w:val="13"/>
  </w:num>
  <w:num w:numId="104" w16cid:durableId="1456369148">
    <w:abstractNumId w:val="6"/>
  </w:num>
  <w:num w:numId="105" w16cid:durableId="1101950724">
    <w:abstractNumId w:val="51"/>
  </w:num>
  <w:num w:numId="106" w16cid:durableId="562175382">
    <w:abstractNumId w:val="61"/>
  </w:num>
  <w:num w:numId="107" w16cid:durableId="9308147">
    <w:abstractNumId w:val="58"/>
  </w:num>
  <w:num w:numId="108" w16cid:durableId="2056080090">
    <w:abstractNumId w:val="37"/>
  </w:num>
  <w:num w:numId="109" w16cid:durableId="1018431940">
    <w:abstractNumId w:val="86"/>
  </w:num>
  <w:num w:numId="110" w16cid:durableId="608010195">
    <w:abstractNumId w:val="83"/>
  </w:num>
  <w:num w:numId="111" w16cid:durableId="1652254574">
    <w:abstractNumId w:val="28"/>
  </w:num>
  <w:num w:numId="112" w16cid:durableId="1808356509">
    <w:abstractNumId w:val="106"/>
  </w:num>
  <w:num w:numId="113" w16cid:durableId="2047294568">
    <w:abstractNumId w:val="76"/>
  </w:num>
  <w:num w:numId="114" w16cid:durableId="1811942686">
    <w:abstractNumId w:val="33"/>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C7"/>
    <w:rsid w:val="0006063C"/>
    <w:rsid w:val="00091C70"/>
    <w:rsid w:val="0015074B"/>
    <w:rsid w:val="00240D4D"/>
    <w:rsid w:val="0029639D"/>
    <w:rsid w:val="00326F90"/>
    <w:rsid w:val="003C71DC"/>
    <w:rsid w:val="00451437"/>
    <w:rsid w:val="006349BA"/>
    <w:rsid w:val="00756A2E"/>
    <w:rsid w:val="00797A62"/>
    <w:rsid w:val="0085327C"/>
    <w:rsid w:val="00901DA6"/>
    <w:rsid w:val="00AA1D8D"/>
    <w:rsid w:val="00AB0CBB"/>
    <w:rsid w:val="00AE3F8B"/>
    <w:rsid w:val="00B47730"/>
    <w:rsid w:val="00BA4B62"/>
    <w:rsid w:val="00BD7219"/>
    <w:rsid w:val="00C70098"/>
    <w:rsid w:val="00C8665E"/>
    <w:rsid w:val="00CB0664"/>
    <w:rsid w:val="00D25405"/>
    <w:rsid w:val="00E51869"/>
    <w:rsid w:val="00F51CB3"/>
    <w:rsid w:val="00FA4D76"/>
    <w:rsid w:val="00FB4B85"/>
    <w:rsid w:val="00FC693F"/>
    <w:rsid w:val="00FE5F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77C95"/>
  <w14:defaultImageDpi w14:val="300"/>
  <w15:docId w15:val="{6DC0B019-73D6-489E-BD89-8CBC2181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71DC"/>
    <w:rPr>
      <w:color w:val="0000FF" w:themeColor="hyperlink"/>
      <w:u w:val="single"/>
    </w:rPr>
  </w:style>
  <w:style w:type="character" w:styleId="UnresolvedMention">
    <w:name w:val="Unresolved Mention"/>
    <w:basedOn w:val="DefaultParagraphFont"/>
    <w:uiPriority w:val="99"/>
    <w:semiHidden/>
    <w:unhideWhenUsed/>
    <w:rsid w:val="003C71DC"/>
    <w:rPr>
      <w:color w:val="605E5C"/>
      <w:shd w:val="clear" w:color="auto" w:fill="E1DFDD"/>
    </w:rPr>
  </w:style>
  <w:style w:type="paragraph" w:styleId="NormalWeb">
    <w:name w:val="Normal (Web)"/>
    <w:basedOn w:val="Normal"/>
    <w:uiPriority w:val="99"/>
    <w:semiHidden/>
    <w:unhideWhenUsed/>
    <w:rsid w:val="003C71DC"/>
    <w:pPr>
      <w:spacing w:after="160" w:line="278" w:lineRule="auto"/>
    </w:pPr>
    <w:rPr>
      <w:rFonts w:ascii="Times New Roman" w:eastAsiaTheme="minorHAnsi" w:hAnsi="Times New Roman"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10</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Rajalingam Yadhav</cp:lastModifiedBy>
  <cp:revision>9</cp:revision>
  <cp:lastPrinted>2026-08-10T12:47:00Z</cp:lastPrinted>
  <dcterms:created xsi:type="dcterms:W3CDTF">2026-08-10T12:45:00Z</dcterms:created>
  <dcterms:modified xsi:type="dcterms:W3CDTF">2026-10-01T09:58:00Z</dcterms:modified>
  <cp:category/>
</cp:coreProperties>
</file>