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color w:val="990000"/>
          <w:sz w:val="38"/>
          <w:szCs w:val="38"/>
        </w:rPr>
      </w:pPr>
      <w:bookmarkStart w:colFirst="0" w:colLast="0" w:name="_dfb0nwxrdd40" w:id="0"/>
      <w:bookmarkEnd w:id="0"/>
      <w:r w:rsidDel="00000000" w:rsidR="00000000" w:rsidRPr="00000000">
        <w:rPr>
          <w:b w:val="1"/>
          <w:color w:val="990000"/>
          <w:sz w:val="38"/>
          <w:szCs w:val="38"/>
          <w:rtl w:val="0"/>
        </w:rPr>
        <w:t xml:space="preserve">Use these AI tools if you want the ideal resume.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Resumaker.ai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Resume &amp; Cover letter generator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2. 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Resume.io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powered resume Builder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ff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Jobhunt.com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powered job application assistant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Zety.com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Resume checker;Review and score your Resume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Jobscan.co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optimize your resume to get more interviews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Jobprofile.io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winning resume in minutes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Practiceinterviews.com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Chatbot bot interview preparation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Jobinterview.coach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only complete AI interview coaching platform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App.yoodli.ai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improve your communication skill using AI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sz w:val="28"/>
          <w:szCs w:val="28"/>
          <w:rtl w:val="0"/>
        </w:rPr>
        <w:t xml:space="preserve">10.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Carriercircles.com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Helps people affected by layoffs to bounce back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