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Swaraagam Website:</w:t>
        <w:br/>
        <w:t>Technical &amp; Hosting Overview</w:t>
      </w:r>
    </w:p>
    <w:p>
      <w:pPr>
        <w:pStyle w:val="Subtitle"/>
        <w:keepNext/>
      </w:pPr>
      <w:r>
        <w:t>A concise guide to the stack, security, publishing flow, and hosting setup</w:t>
      </w:r>
    </w:p>
    <w:p>
      <w:pPr>
        <w:spacing w:after="240"/>
      </w:pPr>
      <w:r>
        <w:rPr>
          <w:rFonts w:ascii="Calibri" w:hAnsi="Calibri"/>
          <w:b/>
          <w:color w:val="2E74B5"/>
          <w:sz w:val="18"/>
        </w:rPr>
        <w:t xml:space="preserve">STATUS  </w:t>
      </w:r>
      <w:r>
        <w:rPr>
          <w:rFonts w:ascii="Calibri" w:hAnsi="Calibri"/>
          <w:b/>
          <w:color w:val="24332D"/>
          <w:sz w:val="19"/>
        </w:rPr>
        <w:t>Custom domain live</w:t>
      </w:r>
      <w:r>
        <w:rPr>
          <w:rFonts w:ascii="Calibri" w:hAnsi="Calibri"/>
          <w:b/>
          <w:color w:val="2E74B5"/>
          <w:sz w:val="18"/>
        </w:rPr>
        <w:t xml:space="preserve">    URL  </w:t>
      </w:r>
      <w:r>
        <w:rPr>
          <w:rFonts w:ascii="Calibri" w:hAnsi="Calibri"/>
          <w:color w:val="24332D"/>
          <w:sz w:val="19"/>
        </w:rPr>
        <w:t>swaraagam.com</w:t>
      </w:r>
    </w:p>
    <w:p>
      <w:pPr>
        <w:spacing w:before="40" w:after="200"/>
        <w:ind w:left="115" w:right="115"/>
        <w:shd w:val="clear" w:fill="F4F7FA"/>
        <w:pBdr>
          <w:left w:val="single" w:sz="18" w:space="8" w:color="2E74B5"/>
        </w:pBdr>
      </w:pPr>
      <w:r>
        <w:rPr>
          <w:rFonts w:ascii="Calibri" w:hAnsi="Calibri"/>
          <w:b/>
          <w:color w:val="17324D"/>
        </w:rPr>
        <w:t xml:space="preserve">In one sentence: </w:t>
      </w:r>
      <w:r>
        <w:rPr>
          <w:rFonts w:ascii="Calibri" w:hAnsi="Calibri"/>
          <w:color w:val="24332D"/>
        </w:rPr>
        <w:t>A Next.js/React site is built with Vinext and Vite, runs on Cloudflare Sites/Workers, stores appointment requests in Cloudflare D1, uses Turnstile for bot protection, and uses Resend for email notifications.</w:t>
      </w:r>
    </w:p>
    <w:p>
      <w:pPr>
        <w:pStyle w:val="Heading1"/>
        <w:keepNext/>
      </w:pPr>
      <w:r>
        <w:t>1. High-level flow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7324D"/>
        </w:rPr>
        <w:t>Visitor opens the site.</w:t>
      </w:r>
      <w:r>
        <w:rPr>
          <w:rFonts w:ascii="Calibri" w:hAnsi="Calibri"/>
          <w:color w:val="24332D"/>
        </w:rPr>
        <w:t xml:space="preserve"> React renders the interface in the browser; Next.js provides the page and route structure.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7324D"/>
        </w:rPr>
        <w:t>Cloudflare serves the request.</w:t>
      </w:r>
      <w:r>
        <w:rPr>
          <w:rFonts w:ascii="Calibri" w:hAnsi="Calibri"/>
          <w:color w:val="24332D"/>
        </w:rPr>
        <w:t xml:space="preserve"> Sites delivers static assets and the Worker runs server-side application logic close to the visitor.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7324D"/>
        </w:rPr>
        <w:t>The build adapts Next.js for Cloudflare.</w:t>
      </w:r>
      <w:r>
        <w:rPr>
          <w:rFonts w:ascii="Calibri" w:hAnsi="Calibri"/>
          <w:color w:val="24332D"/>
        </w:rPr>
        <w:t xml:space="preserve"> Vinext and Vite compile the application into the Worker-compatible production bundle.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7324D"/>
        </w:rPr>
        <w:t>The appointment API validates the form.</w:t>
      </w:r>
      <w:r>
        <w:rPr>
          <w:rFonts w:ascii="Calibri" w:hAnsi="Calibri"/>
          <w:color w:val="24332D"/>
        </w:rPr>
        <w:t xml:space="preserve"> It checks origin, JSON type and size, rate limits, field rules, the honeypot, and the Turnstile token.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7324D"/>
        </w:rPr>
        <w:t>D1 stores the request first.</w:t>
      </w:r>
      <w:r>
        <w:rPr>
          <w:rFonts w:ascii="Calibri" w:hAnsi="Calibri"/>
          <w:color w:val="24332D"/>
        </w:rPr>
        <w:t xml:space="preserve"> The database is the source of truth; a UUID makes retrying the same submission idempotent.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  <w:color w:val="17324D"/>
        </w:rPr>
        <w:t>Resend notifies the practice.</w:t>
      </w:r>
      <w:r>
        <w:rPr>
          <w:rFonts w:ascii="Calibri" w:hAnsi="Calibri"/>
          <w:color w:val="24332D"/>
        </w:rPr>
        <w:t xml:space="preserve"> If email delivery fails, the stored D1 record remains available for recovery and the visitor's valid request is not lost.</w:t>
      </w:r>
    </w:p>
    <w:p>
      <w:pPr>
        <w:pStyle w:val="Heading1"/>
        <w:keepNext/>
      </w:pPr>
      <w:r>
        <w:t>2. Technology stack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9D3DD"/>
          <w:left w:val="single" w:sz="5" w:space="0" w:color="C9D3DD"/>
          <w:bottom w:val="single" w:sz="5" w:space="0" w:color="C9D3DD"/>
          <w:right w:val="single" w:sz="5" w:space="0" w:color="C9D3DD"/>
          <w:insideH w:val="single" w:sz="5" w:space="0" w:color="C9D3DD"/>
          <w:insideV w:val="single" w:sz="5" w:space="0" w:color="C9D3DD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7324D"/>
                <w:sz w:val="19"/>
              </w:rPr>
              <w:t>Layer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4332D"/>
                <w:sz w:val="19"/>
              </w:rPr>
              <w:t>What is used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7324D"/>
                <w:sz w:val="19"/>
              </w:rPr>
              <w:t>Frontend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4332D"/>
                <w:sz w:val="19"/>
              </w:rPr>
              <w:t>Next.js 16, React 19, TypeScript, semantic HTML, responsive CSS, and Tailwind CSS 4 utilities.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7324D"/>
                <w:sz w:val="19"/>
              </w:rPr>
              <w:t>Build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4332D"/>
                <w:sz w:val="19"/>
              </w:rPr>
              <w:t>Vinext 0.0.50 and Vite 8 adapt the Next.js App Router application to Cloudflare.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7324D"/>
                <w:sz w:val="19"/>
              </w:rPr>
              <w:t>Runtime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4332D"/>
                <w:sz w:val="19"/>
              </w:rPr>
              <w:t>Cloudflare Sites and Cloudflare Workers, including edge delivery and image handling.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7324D"/>
                <w:sz w:val="19"/>
              </w:rPr>
              <w:t>Database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4332D"/>
                <w:sz w:val="19"/>
              </w:rPr>
              <w:t>Cloudflare D1 (SQLite-compatible) with Drizzle ORM and versioned SQL migrations.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7324D"/>
                <w:sz w:val="19"/>
              </w:rPr>
              <w:t>Anti-spam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4332D"/>
                <w:sz w:val="19"/>
              </w:rPr>
              <w:t>Cloudflare Turnstile, verified on the server for the expected action and hostname.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7324D"/>
                <w:sz w:val="19"/>
              </w:rPr>
              <w:t>Email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4332D"/>
                <w:sz w:val="19"/>
              </w:rPr>
              <w:t>Resend API sends practice-inbox notifications after D1 storage succeeds.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7324D"/>
                <w:sz w:val="19"/>
              </w:rPr>
              <w:t>Quality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24332D"/>
                <w:sz w:val="19"/>
              </w:rPr>
              <w:t>ESLint, strict TypeScript, Node integration tests, npm audit, and GitHub Actions.</w:t>
            </w:r>
          </w:p>
        </w:tc>
      </w:tr>
    </w:tbl>
    <w:p>
      <w:pPr>
        <w:pStyle w:val="Heading1"/>
        <w:keepNext/>
      </w:pPr>
      <w:r>
        <w:t>3. Security used</w:t>
      </w:r>
    </w:p>
    <w:p>
      <w:pPr>
        <w:pStyle w:val="Heading2"/>
        <w:keepNext/>
      </w:pPr>
      <w:r>
        <w:t>At the edge and in the browser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32D"/>
        </w:rPr>
        <w:t>Cloudflare-managed HTTPS for the live Sites origin; HSTS tells browsers to continue using HTTPS.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32D"/>
        </w:rPr>
        <w:t>Security headers: Content Security Policy, clickjacking protection, MIME-sniffing protection, strict referrer policy, permissions restrictions, and cross-origin opener isolation.</w:t>
      </w:r>
    </w:p>
    <w:p>
      <w:pPr>
        <w:pStyle w:val="Heading2"/>
        <w:keepNext/>
      </w:pPr>
      <w:r>
        <w:t>For the appointment API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32D"/>
        </w:rPr>
        <w:t>Server-verified Turnstile plus a hidden honeypot field for automated-spam resistance.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32D"/>
        </w:rPr>
        <w:t>Allowed-origin checks, JSON-only requests, a 12 KB body limit, strict allowlists, Unicode normalisation, bounded fields, and HTML escaping.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32D"/>
        </w:rPr>
        <w:t>Database-backed rate limiting: five attempts per 15-minute window. The client identifier is salted and SHA-256 hashed; raw IP addresses are not stored in the rate-limit table.</w:t>
      </w:r>
    </w:p>
    <w:p>
      <w:pPr>
        <w:pStyle w:val="Heading2"/>
        <w:keepNext/>
      </w:pPr>
      <w:r>
        <w:t>For data and reliability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32D"/>
        </w:rPr>
        <w:t>D1 storage happens before email notification; duplicate submission UUIDs and Resend idempotency protect retries.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32D"/>
        </w:rPr>
        <w:t>Secrets are runtime environment variables and ignored by Git. API responses are marked no-store and logs use request IDs rather than submitted personal details.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32D"/>
        </w:rPr>
        <w:t>Appointment requests expire after 180 days and expired enquiry/rate-limit rows are cleaned up automatically.</w:t>
      </w:r>
    </w:p>
    <w:p>
      <w:pPr>
        <w:spacing w:before="80" w:after="160"/>
        <w:shd w:val="clear" w:fill="FFF7E6"/>
        <w:pBdr>
          <w:left w:val="single" w:sz="18" w:space="8" w:color="C28A12"/>
        </w:pBdr>
      </w:pPr>
      <w:r>
        <w:rPr>
          <w:rFonts w:ascii="Calibri" w:hAnsi="Calibri"/>
          <w:b/>
          <w:color w:val="7A5A00"/>
        </w:rPr>
        <w:t xml:space="preserve">Security boundary: </w:t>
      </w:r>
      <w:r>
        <w:rPr>
          <w:rFonts w:ascii="Calibri" w:hAnsi="Calibri"/>
          <w:color w:val="24332D"/>
        </w:rPr>
        <w:t>The custom domain and SSL are active. Confirm zone-level WAF/rate rules and domain email authentication as defence-in-depth. The CSP also permits inline script/style execution required by the present framework and Turnstile integration.</w:t>
      </w:r>
    </w:p>
    <w:p>
      <w:pPr>
        <w:pStyle w:val="Heading1"/>
        <w:keepNext/>
      </w:pPr>
      <w:r>
        <w:t>4. Publishing and hosting</w:t>
      </w:r>
    </w:p>
    <w:p>
      <w:r>
        <w:rPr>
          <w:rFonts w:ascii="Calibri" w:hAnsi="Calibri"/>
          <w:b/>
          <w:color w:val="17324D"/>
        </w:rPr>
        <w:t>Publishing means</w:t>
      </w:r>
      <w:r>
        <w:rPr>
          <w:rFonts w:ascii="Calibri" w:hAnsi="Calibri"/>
          <w:color w:val="24332D"/>
        </w:rPr>
        <w:t xml:space="preserve"> creating a verified production build and deploying it. Hosting means the infrastructure that continues serving that deployed build to visitors.</w:t>
      </w:r>
    </w:p>
    <w:p>
      <w:pPr>
        <w:pStyle w:val="Heading2"/>
        <w:keepNext/>
      </w:pPr>
      <w:r>
        <w:t>How it is published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32D"/>
        </w:rPr>
        <w:t>Run npm run check: lint, strict type-check, production build, integration tests, and production dependency audit.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32D"/>
        </w:rPr>
        <w:t>Cloudflare Sites packages the static assets and Worker, applies the D1 migration, injects the DB binding, and supplies runtime configuration/secrets.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color w:val="24332D"/>
        </w:rPr>
        <w:t>After deployment, run a non-clinical smoke test and confirm both the D1 record and the Resend notification.</w:t>
      </w:r>
    </w:p>
    <w:p>
      <w:pPr>
        <w:pStyle w:val="Heading2"/>
        <w:keepNext/>
      </w:pPr>
      <w:r>
        <w:t>What hosts each part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7324D"/>
        </w:rPr>
        <w:t>Website and API:</w:t>
      </w:r>
      <w:r>
        <w:rPr>
          <w:rFonts w:ascii="Calibri" w:hAnsi="Calibri"/>
          <w:color w:val="24332D"/>
        </w:rPr>
        <w:t xml:space="preserve"> Cloudflare Sites + Workers on Cloudflare's edge network.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7324D"/>
        </w:rPr>
        <w:t>Appointment data and shared rate limit:</w:t>
      </w:r>
      <w:r>
        <w:rPr>
          <w:rFonts w:ascii="Calibri" w:hAnsi="Calibri"/>
          <w:color w:val="24332D"/>
        </w:rPr>
        <w:t xml:space="preserve"> Cloudflare D1.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7324D"/>
        </w:rPr>
        <w:t>Bot verification:</w:t>
      </w:r>
      <w:r>
        <w:rPr>
          <w:rFonts w:ascii="Calibri" w:hAnsi="Calibri"/>
          <w:color w:val="24332D"/>
        </w:rPr>
        <w:t xml:space="preserve"> Cloudflare Turnstile; email delivery: Resend.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  <w:color w:val="17324D"/>
        </w:rPr>
        <w:t>Primary live address:</w:t>
      </w:r>
      <w:r>
        <w:rPr>
          <w:rFonts w:ascii="Calibri" w:hAnsi="Calibri"/>
          <w:color w:val="24332D"/>
        </w:rPr>
        <w:t xml:space="preserve"> https://swaraagam.com. The www hostname serves the same deployment and declares the apex domain as canonical.</w:t>
      </w:r>
    </w:p>
    <w:p>
      <w:pPr>
        <w:pStyle w:val="Heading1"/>
        <w:keepNext/>
      </w:pPr>
      <w:r>
        <w:t>5. Post-launch checks and operations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/>
          <w:color w:val="17324D"/>
        </w:rPr>
        <w:t>Keep the canonical origin aligned:</w:t>
      </w:r>
      <w:r>
        <w:rPr>
          <w:rFonts w:ascii="Calibri" w:hAnsi="Calibri"/>
          <w:color w:val="24332D"/>
        </w:rPr>
        <w:t xml:space="preserve"> with https://swaraagam.com in metadata, the sitemap, robots, allowed origins, and Turnstile settings.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/>
          <w:color w:val="17324D"/>
        </w:rPr>
        <w:t>Confirm preferred-host behaviour:</w:t>
      </w:r>
      <w:r>
        <w:rPr>
          <w:rFonts w:ascii="Calibri" w:hAnsi="Calibri"/>
          <w:color w:val="24332D"/>
        </w:rPr>
        <w:t xml:space="preserve"> for www; it currently serves the same site with the apex domain marked canonical.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/>
          <w:color w:val="17324D"/>
        </w:rPr>
        <w:t>Confirm the practice mailbox:</w:t>
      </w:r>
      <w:r>
        <w:rPr>
          <w:rFonts w:ascii="Calibri" w:hAnsi="Calibri"/>
          <w:color w:val="24332D"/>
        </w:rPr>
        <w:t xml:space="preserve"> and verify the Resend sending domain with SPF, DKIM, and DMARC.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/>
          <w:color w:val="17324D"/>
        </w:rPr>
        <w:t>Confirm Cloudflare zone rules:</w:t>
      </w:r>
      <w:r>
        <w:rPr>
          <w:rFonts w:ascii="Calibri" w:hAnsi="Calibri"/>
          <w:color w:val="24332D"/>
        </w:rPr>
        <w:t xml:space="preserve"> for WAF and edge rate limiting as an additional layer.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/>
          <w:color w:val="17324D"/>
        </w:rPr>
        <w:t>Run a production smoke test:</w:t>
      </w:r>
      <w:r>
        <w:rPr>
          <w:rFonts w:ascii="Calibri" w:hAnsi="Calibri"/>
          <w:color w:val="24332D"/>
        </w:rPr>
        <w:t xml:space="preserve"> using clearly labelled test data; confirm the D1 record and inbox notification.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/>
          <w:color w:val="17324D"/>
        </w:rPr>
        <w:t>Start operations:</w:t>
      </w:r>
      <w:r>
        <w:rPr>
          <w:rFonts w:ascii="Calibri" w:hAnsi="Calibri"/>
          <w:color w:val="24332D"/>
        </w:rPr>
        <w:t xml:space="preserve"> with inbox monitoring, monthly form/Turnstile checks, quarterly access and secret reviews, and prompt secret rotation after suspected exposure.</w:t>
      </w:r>
    </w:p>
    <w:p>
      <w:pPr>
        <w:spacing w:before="160" w:after="0"/>
        <w:shd w:val="clear" w:fill="F4F7FA"/>
        <w:pBdr>
          <w:left w:val="single" w:sz="18" w:space="8" w:color="2E74B5"/>
        </w:pBdr>
      </w:pPr>
      <w:r>
        <w:rPr>
          <w:rFonts w:ascii="Calibri" w:hAnsi="Calibri"/>
          <w:b/>
          <w:color w:val="17324D"/>
        </w:rPr>
        <w:t xml:space="preserve">First-time hosting takeaway: </w:t>
      </w:r>
      <w:r>
        <w:rPr>
          <w:rFonts w:ascii="Calibri" w:hAnsi="Calibri"/>
          <w:color w:val="24332D"/>
        </w:rPr>
        <w:t>Cloudflare runs the site, API, and database integration; Turnstile protects submissions; Resend sends notifications. Your main ongoing responsibilities are safe configuration, release checks, smoke testing, monitoring, retention, and domain/email maintenance.</w:t>
      </w:r>
    </w:p>
    <w:p>
      <w:pPr>
        <w:spacing w:before="160" w:after="0"/>
      </w:pPr>
      <w:r>
        <w:rPr>
          <w:rFonts w:ascii="Calibri" w:hAnsi="Calibri"/>
          <w:i/>
          <w:color w:val="5F6B73"/>
          <w:sz w:val="17"/>
        </w:rPr>
        <w:t>Repository-derived overview based on the README, package configuration, Worker/API/database code, hosting configuration, and production guide.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F6B73"/>
        <w:sz w:val="18"/>
      </w:rPr>
      <w:t xml:space="preserve">23 August 2026  |  Page </w:t>
    </w:r>
    <w:r>
      <w:rPr>
        <w:rFonts w:ascii="Calibri" w:hAnsi="Calibri"/>
        <w:color w:val="5F6B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B73"/>
        <w:sz w:val="17"/>
      </w:rPr>
      <w:t>SWARAAGAM  |  WEBSITE TECHNICAL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3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76" w:lineRule="auto"/>
    </w:pPr>
    <w:rPr>
      <w:rFonts w:asciiTheme="majorHAnsi" w:eastAsiaTheme="majorEastAsia" w:hAnsiTheme="majorHAnsi" w:cstheme="majorBidi" w:ascii="Calibri" w:hAnsi="Calibri"/>
      <w:b w:val="0"/>
      <w:i w:val="0"/>
      <w:iCs/>
      <w:color w:val="5F6B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Swaraagam Website: Technical &amp; Hosting Overview</dc:title>
  <dc:subject>Technology stack, security, publishing, and hosting overview</dc:subject>
  <dc:creator>Swaraagam</dc:creator>
  <cp:keywords>Swaraagam, Cloudflare, Next.js, security, hosting</cp:keywords>
  <dc:description>generated by python-docx</dc:description>
  <cp:lastModifiedBy>Swaraagam</cp:lastModifiedBy>
  <cp:revision>1</cp:revision>
  <dcterms:created xsi:type="dcterms:W3CDTF">2013-12-23T23:15:00Z</dcterms:created>
  <dcterms:modified xsi:type="dcterms:W3CDTF">2013-12-23T23:15:00Z</dcterms:modified>
  <cp:category/>
</cp:coreProperties>
</file>