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200"/>
      </w:pPr>
      <w:r>
        <w:rPr>
          <w:rFonts w:ascii="Calibri" w:cs="Calibri" w:eastAsia="Calibri" w:hAnsi="Calibri"/>
          <w:b/>
          <w:bCs/>
          <w:color w:val="0F7C80"/>
          <w:spacing w:val="40"/>
          <w:sz w:val="22"/>
          <w:szCs w:val="22"/>
        </w:rPr>
        <w:t xml:space="preserve">PRIVATE SIGSTORE PLATFORM</w:t>
      </w:r>
    </w:p>
    <w:p>
      <w:pPr>
        <w:spacing w:after="200"/>
      </w:pPr>
      <w:r>
        <w:rPr>
          <w:rFonts w:ascii="Calibri" w:cs="Calibri" w:eastAsia="Calibri" w:hAnsi="Calibri"/>
          <w:b/>
          <w:bCs/>
          <w:color w:val="1E2761"/>
          <w:sz w:val="60"/>
          <w:szCs w:val="60"/>
        </w:rPr>
        <w:t xml:space="preserve">Executive Design Summary</w:t>
      </w:r>
    </w:p>
    <w:p>
      <w:pPr>
        <w:spacing w:after="900"/>
      </w:pPr>
      <w:r>
        <w:rPr>
          <w:rFonts w:ascii="Calibri" w:cs="Calibri" w:eastAsia="Calibri" w:hAnsi="Calibri"/>
          <w:color w:val="5B6770"/>
          <w:sz w:val="28"/>
          <w:szCs w:val="28"/>
        </w:rPr>
        <w:t xml:space="preserve">Keyless signing on AWS, anchored in the corporate root CA, verified on EKS, AKS, OpenShift and on-prem clusters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rPr>
          <w:tblHeader/>
        </w:trPr>
        <w:tc>
          <w:tcPr>
            <w:tcW w:type="dxa" w:w="2200"/>
            <w:tcBorders>
              <w:top w:val="single" w:color="C9D3D8" w:sz="4"/>
              <w:left w:val="single" w:color="C9D3D8" w:sz="4"/>
              <w:bottom w:val="single" w:color="C9D3D8" w:sz="4"/>
              <w:right w:val="single" w:color="C9D3D8" w:sz="4"/>
            </w:tcBorders>
            <w:shd w:fill="1E2761"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
            </w:r>
          </w:p>
        </w:tc>
        <w:tc>
          <w:tcPr>
            <w:tcW w:type="dxa" w:w="7438"/>
            <w:tcBorders>
              <w:top w:val="single" w:color="C9D3D8" w:sz="4"/>
              <w:left w:val="single" w:color="C9D3D8" w:sz="4"/>
              <w:bottom w:val="single" w:color="C9D3D8" w:sz="4"/>
              <w:right w:val="single" w:color="C9D3D8" w:sz="4"/>
            </w:tcBorders>
            <w:shd w:fill="1E2761"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
            </w:r>
          </w:p>
        </w:tc>
      </w:tr>
      <w:tr>
        <w:trPr>
          <w:cantSplit/>
        </w:trPr>
        <w:tc>
          <w:tcPr>
            <w:tcW w:type="dxa" w:w="22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Status</w:t>
            </w:r>
          </w:p>
        </w:tc>
        <w:tc>
          <w:tcPr>
            <w:tcW w:type="dxa" w:w="7438"/>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Design for approval; validated statically, not yet deployed</w:t>
            </w:r>
          </w:p>
        </w:tc>
      </w:tr>
      <w:tr>
        <w:trPr>
          <w:cantSplit/>
        </w:trPr>
        <w:tc>
          <w:tcPr>
            <w:tcW w:type="dxa" w:w="2200"/>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Date</w:t>
            </w:r>
          </w:p>
        </w:tc>
        <w:tc>
          <w:tcPr>
            <w:tcW w:type="dxa" w:w="7438"/>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24 October 2026</w:t>
            </w:r>
          </w:p>
        </w:tc>
      </w:tr>
      <w:tr>
        <w:trPr>
          <w:cantSplit/>
        </w:trPr>
        <w:tc>
          <w:tcPr>
            <w:tcW w:type="dxa" w:w="22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Audience</w:t>
            </w:r>
          </w:p>
        </w:tc>
        <w:tc>
          <w:tcPr>
            <w:tcW w:type="dxa" w:w="7438"/>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Head of Cloud, CISO office, PKI, IAM, platform owners, GRC</w:t>
            </w:r>
          </w:p>
        </w:tc>
      </w:tr>
      <w:tr>
        <w:trPr>
          <w:cantSplit/>
        </w:trPr>
        <w:tc>
          <w:tcPr>
            <w:tcW w:type="dxa" w:w="2200"/>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Detail</w:t>
            </w:r>
          </w:p>
        </w:tc>
        <w:tc>
          <w:tcPr>
            <w:tcW w:type="dxa" w:w="7438"/>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enterprise/docs/00–10 and docs/adr/0001–0012 in the sigstore-platform repository</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20"/>
      </w:pPr>
      <w:r>
        <w:rPr>
          <w:rFonts w:ascii="Calibri" w:cs="Calibri" w:eastAsia="Calibri" w:hAnsi="Calibri"/>
          <w:i/>
          <w:iCs/>
          <w:color w:val="5B6770"/>
          <w:sz w:val="18"/>
          <w:szCs w:val="18"/>
        </w:rPr>
        <w:t xml:space="preserve">If the table above is empty, right-click it and choose Update Field.</w:t>
      </w:r>
    </w:p>
    <w:p>
      <w:pPr>
        <w:pStyle w:val="Heading1"/>
        <w:pageBreakBefore/>
      </w:pPr>
      <w:r>
        <w:t xml:space="preserve">1.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0F7C80" w:sz="24"/>
              <w:bottom w:val="none" w:color="FFFFFF" w:sz="0"/>
              <w:right w:val="none" w:color="FFFFFF" w:sz="0"/>
            </w:tcBorders>
            <w:shd w:fill="EAF2F4" w:color="auto" w:val="clear"/>
            <w:tcMar>
              <w:top w:type="dxa" w:w="140"/>
              <w:left w:type="dxa" w:w="200"/>
              <w:bottom w:type="dxa" w:w="140"/>
              <w:right w:type="dxa" w:w="200"/>
            </w:tcMar>
          </w:tcPr>
          <w:p>
            <w:pPr>
              <w:spacing w:after="60"/>
            </w:pPr>
            <w:r>
              <w:rPr>
                <w:rFonts w:ascii="Calibri" w:cs="Calibri" w:eastAsia="Calibri" w:hAnsi="Calibri"/>
                <w:b/>
                <w:bCs/>
                <w:color w:val="0F7C80"/>
                <w:sz w:val="21"/>
                <w:szCs w:val="21"/>
              </w:rPr>
              <w:t xml:space="preserve">In one sentence</w:t>
            </w:r>
          </w:p>
          <w:p>
            <w:pPr>
              <w:spacing w:after="0"/>
            </w:pPr>
            <w:r>
              <w:rPr>
                <w:rFonts w:ascii="Calibri" w:cs="Calibri" w:eastAsia="Calibri" w:hAnsi="Calibri"/>
                <w:sz w:val="21"/>
                <w:szCs w:val="21"/>
              </w:rPr>
              <w:t xml:space="preserve">We run our own Sigstore (the signing system used by Kubernetes, npm and PyPI) in dedicated AWS accounts, chained to the bank's offline root CA, so every container image is signed by a named pipeline or person and every cluster, on every cloud, rejects images that are not.</w:t>
            </w:r>
          </w:p>
        </w:tc>
      </w:tr>
    </w:tbl>
    <w:p>
      <w:pPr>
        <w:spacing w:after="120"/>
      </w:pPr>
    </w:p>
    <w:p>
      <w:pPr>
        <w:pStyle w:val="Heading2"/>
        <w:keepNext/>
      </w:pPr>
      <w:r>
        <w:t xml:space="preserve">The problem</w:t>
      </w:r>
    </w:p>
    <w:p>
      <w:pPr>
        <w:spacing w:after="120"/>
      </w:pPr>
      <w:r>
        <w:rPr>
          <w:rFonts w:ascii="Calibri" w:cs="Calibri" w:eastAsia="Calibri" w:hAnsi="Calibri"/>
          <w:sz w:val="21"/>
          <w:szCs w:val="21"/>
        </w:rPr>
        <w:t xml:space="preserve">Today a cluster will run an image built on a laptop, pulled from the internet or altered in a registry. For any running workload we cannot prove who built it, from which source, and that it has not changed since. NIST SSDF, SLSA and PCI DSS 4.0 all expect that evidence.</w:t>
      </w:r>
    </w:p>
    <w:p>
      <w:pPr>
        <w:pStyle w:val="Heading2"/>
        <w:keepNext/>
      </w:pPr>
      <w:r>
        <w:t xml:space="preserve">What changes</w:t>
      </w:r>
    </w:p>
    <w:p>
      <w:pPr>
        <w:pStyle w:val="ListParagraph"/>
        <w:numPr>
          <w:ilvl w:val="0"/>
          <w:numId w:val="2"/>
        </w:numPr>
        <w:spacing w:after="60"/>
      </w:pPr>
      <w:r>
        <w:rPr>
          <w:rFonts w:ascii="Calibri" w:cs="Calibri" w:eastAsia="Calibri" w:hAnsi="Calibri"/>
          <w:b/>
          <w:bCs/>
          <w:sz w:val="21"/>
          <w:szCs w:val="21"/>
        </w:rPr>
        <w:t xml:space="preserve">Keyless signing.</w:t>
      </w:r>
      <w:r>
        <w:rPr>
          <w:rFonts w:ascii="Calibri" w:cs="Calibri" w:eastAsia="Calibri" w:hAnsi="Calibri"/>
          <w:sz w:val="21"/>
          <w:szCs w:val="21"/>
        </w:rPr>
        <w:t xml:space="preserve"> Pipelines sign with their GitHub workflow identity; engineers with their corporate login. Nobody manages signing keys.</w:t>
      </w:r>
    </w:p>
    <w:p>
      <w:pPr>
        <w:pStyle w:val="ListParagraph"/>
        <w:numPr>
          <w:ilvl w:val="0"/>
          <w:numId w:val="2"/>
        </w:numPr>
        <w:spacing w:after="60"/>
      </w:pPr>
      <w:r>
        <w:rPr>
          <w:rFonts w:ascii="Calibri" w:cs="Calibri" w:eastAsia="Calibri" w:hAnsi="Calibri"/>
          <w:b/>
          <w:bCs/>
          <w:sz w:val="21"/>
          <w:szCs w:val="21"/>
        </w:rPr>
        <w:t xml:space="preserve">Transparency.</w:t>
      </w:r>
      <w:r>
        <w:rPr>
          <w:rFonts w:ascii="Calibri" w:cs="Calibri" w:eastAsia="Calibri" w:hAnsi="Calibri"/>
          <w:sz w:val="21"/>
          <w:szCs w:val="21"/>
        </w:rPr>
        <w:t xml:space="preserve"> Every certificate and signature is recorded in append-only logs we operate and monitor.</w:t>
      </w:r>
    </w:p>
    <w:p>
      <w:pPr>
        <w:pStyle w:val="ListParagraph"/>
        <w:numPr>
          <w:ilvl w:val="0"/>
          <w:numId w:val="2"/>
        </w:numPr>
        <w:spacing w:after="60"/>
      </w:pPr>
      <w:r>
        <w:rPr>
          <w:rFonts w:ascii="Calibri" w:cs="Calibri" w:eastAsia="Calibri" w:hAnsi="Calibri"/>
          <w:b/>
          <w:bCs/>
          <w:sz w:val="21"/>
          <w:szCs w:val="21"/>
        </w:rPr>
        <w:t xml:space="preserve">Offline verification.</w:t>
      </w:r>
      <w:r>
        <w:rPr>
          <w:rFonts w:ascii="Calibri" w:cs="Calibri" w:eastAsia="Calibri" w:hAnsi="Calibri"/>
          <w:sz w:val="21"/>
          <w:szCs w:val="21"/>
        </w:rPr>
        <w:t xml:space="preserve"> Clusters verify against trust data replicated next to them. An outage of the signing platform stops new signatures, never deployments.</w:t>
      </w:r>
    </w:p>
    <w:p>
      <w:pPr>
        <w:pStyle w:val="ListParagraph"/>
        <w:numPr>
          <w:ilvl w:val="0"/>
          <w:numId w:val="2"/>
        </w:numPr>
        <w:spacing w:after="60"/>
      </w:pPr>
      <w:r>
        <w:rPr>
          <w:rFonts w:ascii="Calibri" w:cs="Calibri" w:eastAsia="Calibri" w:hAnsi="Calibri"/>
          <w:b/>
          <w:bCs/>
          <w:sz w:val="21"/>
          <w:szCs w:val="21"/>
        </w:rPr>
        <w:t xml:space="preserve">Enforcement everywhere.</w:t>
      </w:r>
      <w:r>
        <w:rPr>
          <w:rFonts w:ascii="Calibri" w:cs="Calibri" w:eastAsia="Calibri" w:hAnsi="Calibri"/>
          <w:sz w:val="21"/>
          <w:szCs w:val="21"/>
        </w:rPr>
        <w:t xml:space="preserve"> Unsigned or wrongly signed images are denied, after an audit-only period per cluster tier.</w:t>
      </w:r>
    </w:p>
    <w:p>
      <w:pPr>
        <w:pStyle w:val="Heading2"/>
        <w:keepNext/>
      </w:pPr>
      <w:r>
        <w:t xml:space="preserve">Target architecture</w:t>
      </w:r>
    </w:p>
    <w:p>
      <w:pPr>
        <w:spacing w:after="160"/>
        <w:jc w:val="center"/>
      </w:pPr>
      <w:r>
        <w:drawing>
          <wp:inline distT="0" distB="0" distL="0" distR="0">
            <wp:extent cx="6096000" cy="2943225"/>
            <wp:effectExtent t="0" r="0" b="0" l="0"/>
            <wp:docPr id="1" name="hub.png" descr="Architecture diagram" title="hu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943225"/>
                    </a:xfrm>
                    <a:prstGeom prst="rect">
                      <a:avLst/>
                    </a:prstGeom>
                  </pic:spPr>
                </pic:pic>
              </a:graphicData>
            </a:graphic>
          </wp:inline>
        </w:drawing>
      </w:r>
    </w:p>
    <w:p>
      <w:pPr>
        <w:spacing w:after="120"/>
      </w:pPr>
      <w:r>
        <w:rPr>
          <w:rFonts w:ascii="Calibri" w:cs="Calibri" w:eastAsia="Calibri" w:hAnsi="Calibri"/>
          <w:b/>
          <w:bCs/>
          <w:sz w:val="21"/>
          <w:szCs w:val="21"/>
        </w:rPr>
        <w:t xml:space="preserve">Figure 1. </w:t>
      </w:r>
      <w:r>
        <w:rPr>
          <w:rFonts w:ascii="Calibri" w:cs="Calibri" w:eastAsia="Calibri" w:hAnsi="Calibri"/>
          <w:color w:val="5B6770"/>
          <w:sz w:val="21"/>
          <w:szCs w:val="21"/>
        </w:rPr>
        <w:t xml:space="preserve">Sign centrally in AWS; verify locally on every platform.</w:t>
      </w:r>
    </w:p>
    <w:p>
      <w:pPr>
        <w:pStyle w:val="Heading1"/>
        <w:pageBreakBefore/>
      </w:pPr>
      <w:r>
        <w:t xml:space="preserve">2. Key design decisions</w:t>
      </w:r>
    </w:p>
    <w:p>
      <w:pPr>
        <w:spacing w:after="120"/>
      </w:pPr>
      <w:r>
        <w:rPr>
          <w:rFonts w:ascii="Calibri" w:cs="Calibri" w:eastAsia="Calibri" w:hAnsi="Calibri"/>
          <w:sz w:val="21"/>
          <w:szCs w:val="21"/>
        </w:rPr>
        <w:t xml:space="preserve">Each decision has an Architecture Decision Record with context, consequences and rejected alternatives.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3600"/>
        <w:gridCol w:w="5238"/>
      </w:tblGrid>
      <w:tr>
        <w:trPr>
          <w:tblHeader/>
        </w:trPr>
        <w:tc>
          <w:tcPr>
            <w:tcW w:type="dxa" w:w="800"/>
            <w:tcBorders>
              <w:top w:val="single" w:color="C9D3D8" w:sz="4"/>
              <w:left w:val="single" w:color="C9D3D8" w:sz="4"/>
              <w:bottom w:val="single" w:color="C9D3D8" w:sz="4"/>
              <w:right w:val="single" w:color="C9D3D8" w:sz="4"/>
            </w:tcBorders>
            <w:shd w:fill="1E2761"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ADR</w:t>
            </w:r>
          </w:p>
        </w:tc>
        <w:tc>
          <w:tcPr>
            <w:tcW w:type="dxa" w:w="3600"/>
            <w:tcBorders>
              <w:top w:val="single" w:color="C9D3D8" w:sz="4"/>
              <w:left w:val="single" w:color="C9D3D8" w:sz="4"/>
              <w:bottom w:val="single" w:color="C9D3D8" w:sz="4"/>
              <w:right w:val="single" w:color="C9D3D8" w:sz="4"/>
            </w:tcBorders>
            <w:shd w:fill="1E2761"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Decision</w:t>
            </w:r>
          </w:p>
        </w:tc>
        <w:tc>
          <w:tcPr>
            <w:tcW w:type="dxa" w:w="5238"/>
            <w:tcBorders>
              <w:top w:val="single" w:color="C9D3D8" w:sz="4"/>
              <w:left w:val="single" w:color="C9D3D8" w:sz="4"/>
              <w:bottom w:val="single" w:color="C9D3D8" w:sz="4"/>
              <w:right w:val="single" w:color="C9D3D8" w:sz="4"/>
            </w:tcBorders>
            <w:shd w:fill="1E2761"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Why</w:t>
            </w:r>
          </w:p>
        </w:tc>
      </w:tr>
      <w:tr>
        <w:trPr>
          <w:cantSplit/>
        </w:trPr>
        <w:tc>
          <w:tcPr>
            <w:tcW w:type="dxa" w:w="8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0001</w:t>
            </w:r>
          </w:p>
        </w:tc>
        <w:tc>
          <w:tcPr>
            <w:tcW w:type="dxa" w:w="36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Private Sigstore, not public-good</w:t>
            </w:r>
          </w:p>
        </w:tc>
        <w:tc>
          <w:tcPr>
            <w:tcW w:type="dxa" w:w="5238"/>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Identities stay in-house and in-Region; trust anchored in our PKI.</w:t>
            </w:r>
          </w:p>
        </w:tc>
      </w:tr>
      <w:tr>
        <w:trPr>
          <w:cantSplit/>
        </w:trPr>
        <w:tc>
          <w:tcPr>
            <w:tcW w:type="dxa" w:w="800"/>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0002</w:t>
            </w:r>
          </w:p>
        </w:tc>
        <w:tc>
          <w:tcPr>
            <w:tcW w:type="dxa" w:w="3600"/>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Rekor v1 on Trillian now, v2 later</w:t>
            </w:r>
          </w:p>
        </w:tc>
        <w:tc>
          <w:tcPr>
            <w:tcW w:type="dxa" w:w="5238"/>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Mature on AWS with KMS signing today; v2 AWS flavours lack KMS signing.</w:t>
            </w:r>
          </w:p>
        </w:tc>
      </w:tr>
      <w:tr>
        <w:trPr>
          <w:cantSplit/>
        </w:trPr>
        <w:tc>
          <w:tcPr>
            <w:tcW w:type="dxa" w:w="8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0003</w:t>
            </w:r>
          </w:p>
        </w:tc>
        <w:tc>
          <w:tcPr>
            <w:tcW w:type="dxa" w:w="36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CA, TSA, Rekor and TUF online keys in AWS KMS</w:t>
            </w:r>
          </w:p>
        </w:tc>
        <w:tc>
          <w:tcPr>
            <w:tcW w:type="dxa" w:w="5238"/>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Non-exportable, every use in CloudTrail, multi-Region replicas for DR.</w:t>
            </w:r>
          </w:p>
        </w:tc>
      </w:tr>
      <w:tr>
        <w:trPr>
          <w:cantSplit/>
        </w:trPr>
        <w:tc>
          <w:tcPr>
            <w:tcW w:type="dxa" w:w="800"/>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0004</w:t>
            </w:r>
          </w:p>
        </w:tc>
        <w:tc>
          <w:tcPr>
            <w:tcW w:type="dxa" w:w="3600"/>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Sigstore CA directly under the offline root</w:t>
            </w:r>
          </w:p>
        </w:tc>
        <w:tc>
          <w:tcPr>
            <w:tcW w:type="dxa" w:w="5238"/>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Keeps code-signing trust out of AD CS; root EKU checked at ceremony.</w:t>
            </w:r>
          </w:p>
        </w:tc>
      </w:tr>
      <w:tr>
        <w:trPr>
          <w:cantSplit/>
        </w:trPr>
        <w:tc>
          <w:tcPr>
            <w:tcW w:type="dxa" w:w="8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0005</w:t>
            </w:r>
          </w:p>
        </w:tc>
        <w:tc>
          <w:tcPr>
            <w:tcW w:type="dxa" w:w="36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Keycloak brokers Entra ID and AD FS</w:t>
            </w:r>
          </w:p>
        </w:tc>
        <w:tc>
          <w:tcPr>
            <w:tcW w:type="dxa" w:w="5238"/>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One issuer for people; verified e-mail claim Fulcio requires.</w:t>
            </w:r>
          </w:p>
        </w:tc>
      </w:tr>
      <w:tr>
        <w:trPr>
          <w:cantSplit/>
        </w:trPr>
        <w:tc>
          <w:tcPr>
            <w:tcW w:type="dxa" w:w="800"/>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0006</w:t>
            </w:r>
          </w:p>
        </w:tc>
        <w:tc>
          <w:tcPr>
            <w:tcW w:type="dxa" w:w="3600"/>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GitHub enterprise-unique OIDC issuer</w:t>
            </w:r>
          </w:p>
        </w:tc>
        <w:tc>
          <w:tcPr>
            <w:tcW w:type="dxa" w:w="5238"/>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Only our enterprise's workflows can obtain certificates.</w:t>
            </w:r>
          </w:p>
        </w:tc>
      </w:tr>
      <w:tr>
        <w:trPr>
          <w:cantSplit/>
        </w:trPr>
        <w:tc>
          <w:tcPr>
            <w:tcW w:type="dxa" w:w="8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0007</w:t>
            </w:r>
          </w:p>
        </w:tc>
        <w:tc>
          <w:tcPr>
            <w:tcW w:type="dxa" w:w="36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Kyverno on every platform</w:t>
            </w:r>
          </w:p>
        </w:tc>
        <w:tc>
          <w:tcPr>
            <w:tcW w:type="dxa" w:w="5238"/>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One policy language; OpenShift native policy cannot match workflow identities.</w:t>
            </w:r>
          </w:p>
        </w:tc>
      </w:tr>
      <w:tr>
        <w:trPr>
          <w:cantSplit/>
        </w:trPr>
        <w:tc>
          <w:tcPr>
            <w:tcW w:type="dxa" w:w="800"/>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0008</w:t>
            </w:r>
          </w:p>
        </w:tc>
        <w:tc>
          <w:tcPr>
            <w:tcW w:type="dxa" w:w="3600"/>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TUF for trust distribution</w:t>
            </w:r>
          </w:p>
        </w:tc>
        <w:tc>
          <w:tcPr>
            <w:tcW w:type="dxa" w:w="5238"/>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Rotate keys without touching clients; 2-of-3 offline custodians.</w:t>
            </w:r>
          </w:p>
        </w:tc>
      </w:tr>
      <w:tr>
        <w:trPr>
          <w:cantSplit/>
        </w:trPr>
        <w:tc>
          <w:tcPr>
            <w:tcW w:type="dxa" w:w="8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0009</w:t>
            </w:r>
          </w:p>
        </w:tc>
        <w:tc>
          <w:tcPr>
            <w:tcW w:type="dxa" w:w="36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Self-hosted ARC runners in AWS</w:t>
            </w:r>
          </w:p>
        </w:tc>
        <w:tc>
          <w:tcPr>
            <w:tcW w:type="dxa" w:w="5238"/>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Signing stays on the private network.</w:t>
            </w:r>
          </w:p>
        </w:tc>
      </w:tr>
      <w:tr>
        <w:trPr>
          <w:cantSplit/>
        </w:trPr>
        <w:tc>
          <w:tcPr>
            <w:tcW w:type="dxa" w:w="800"/>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0010</w:t>
            </w:r>
          </w:p>
        </w:tc>
        <w:tc>
          <w:tcPr>
            <w:tcW w:type="dxa" w:w="3600"/>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Build on upstream (RHTAS is the exit path)</w:t>
            </w:r>
          </w:p>
        </w:tc>
        <w:tc>
          <w:tcPr>
            <w:tcW w:type="dxa" w:w="5238"/>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AWS-native keys and GitOps; no OpenShift dependency for signing.</w:t>
            </w:r>
          </w:p>
        </w:tc>
      </w:tr>
      <w:tr>
        <w:trPr>
          <w:cantSplit/>
        </w:trPr>
        <w:tc>
          <w:tcPr>
            <w:tcW w:type="dxa" w:w="8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0011</w:t>
            </w:r>
          </w:p>
        </w:tc>
        <w:tc>
          <w:tcPr>
            <w:tcW w:type="dxa" w:w="36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IRSA for KMS access</w:t>
            </w:r>
          </w:p>
        </w:tc>
        <w:tc>
          <w:tcPr>
            <w:tcW w:type="dxa" w:w="5238"/>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No static AWS credentials anywhere.</w:t>
            </w:r>
          </w:p>
        </w:tc>
      </w:tr>
      <w:tr>
        <w:trPr>
          <w:cantSplit/>
        </w:trPr>
        <w:tc>
          <w:tcPr>
            <w:tcW w:type="dxa" w:w="800"/>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0012</w:t>
            </w:r>
          </w:p>
        </w:tc>
        <w:tc>
          <w:tcPr>
            <w:tcW w:type="dxa" w:w="3600"/>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TLS from a name-constrained AWS Private CA</w:t>
            </w:r>
          </w:p>
        </w:tc>
        <w:tc>
          <w:tcPr>
            <w:tcW w:type="dxa" w:w="5238"/>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Automated renewal; limited blast radius.</w:t>
            </w:r>
          </w:p>
        </w:tc>
      </w:tr>
    </w:tbl>
    <w:p>
      <w:pPr>
        <w:pStyle w:val="Heading1"/>
        <w:pageBreakBefore/>
      </w:pPr>
      <w:r>
        <w:t xml:space="preserve">3. Trust anchor and identity</w:t>
      </w:r>
    </w:p>
    <w:p>
      <w:pPr>
        <w:pStyle w:val="Heading2"/>
        <w:keepNext/>
      </w:pPr>
      <w:r>
        <w:t xml:space="preserve">PKI</w:t>
      </w:r>
    </w:p>
    <w:p>
      <w:pPr>
        <w:spacing w:after="160"/>
        <w:jc w:val="center"/>
      </w:pPr>
      <w:r>
        <w:drawing>
          <wp:inline distT="0" distB="0" distL="0" distR="0">
            <wp:extent cx="6096000" cy="1609725"/>
            <wp:effectExtent t="0" r="0" b="0" l="0"/>
            <wp:docPr id="2" name="pki.png" descr="Architecture diagram" title="pk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1609725"/>
                    </a:xfrm>
                    <a:prstGeom prst="rect">
                      <a:avLst/>
                    </a:prstGeom>
                  </pic:spPr>
                </pic:pic>
              </a:graphicData>
            </a:graphic>
          </wp:inline>
        </w:drawing>
      </w:r>
    </w:p>
    <w:p>
      <w:pPr>
        <w:spacing w:after="120"/>
      </w:pPr>
      <w:r>
        <w:rPr>
          <w:rFonts w:ascii="Calibri" w:cs="Calibri" w:eastAsia="Calibri" w:hAnsi="Calibri"/>
          <w:b/>
          <w:bCs/>
          <w:sz w:val="21"/>
          <w:szCs w:val="21"/>
        </w:rPr>
        <w:t xml:space="preserve">Figure 2. </w:t>
      </w:r>
      <w:r>
        <w:rPr>
          <w:rFonts w:ascii="Calibri" w:cs="Calibri" w:eastAsia="Calibri" w:hAnsi="Calibri"/>
          <w:color w:val="5B6770"/>
          <w:sz w:val="21"/>
          <w:szCs w:val="21"/>
        </w:rPr>
        <w:t xml:space="preserve">The offline root signs three new certificates at one recorded ceremony; AD CS is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600"/>
        <w:gridCol w:w="2000"/>
        <w:gridCol w:w="2738"/>
      </w:tblGrid>
      <w:tr>
        <w:trPr>
          <w:tblHeader/>
        </w:trPr>
        <w:tc>
          <w:tcPr>
            <w:tcW w:type="dxa" w:w="2300"/>
            <w:tcBorders>
              <w:top w:val="single" w:color="C9D3D8" w:sz="4"/>
              <w:left w:val="single" w:color="C9D3D8" w:sz="4"/>
              <w:bottom w:val="single" w:color="C9D3D8" w:sz="4"/>
              <w:right w:val="single" w:color="C9D3D8" w:sz="4"/>
            </w:tcBorders>
            <w:shd w:fill="1E2761"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Item</w:t>
            </w:r>
          </w:p>
        </w:tc>
        <w:tc>
          <w:tcPr>
            <w:tcW w:type="dxa" w:w="2600"/>
            <w:tcBorders>
              <w:top w:val="single" w:color="C9D3D8" w:sz="4"/>
              <w:left w:val="single" w:color="C9D3D8" w:sz="4"/>
              <w:bottom w:val="single" w:color="C9D3D8" w:sz="4"/>
              <w:right w:val="single" w:color="C9D3D8" w:sz="4"/>
            </w:tcBorders>
            <w:shd w:fill="1E2761"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Key custody</w:t>
            </w:r>
          </w:p>
        </w:tc>
        <w:tc>
          <w:tcPr>
            <w:tcW w:type="dxa" w:w="2000"/>
            <w:tcBorders>
              <w:top w:val="single" w:color="C9D3D8" w:sz="4"/>
              <w:left w:val="single" w:color="C9D3D8" w:sz="4"/>
              <w:bottom w:val="single" w:color="C9D3D8" w:sz="4"/>
              <w:right w:val="single" w:color="C9D3D8" w:sz="4"/>
            </w:tcBorders>
            <w:shd w:fill="1E2761"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Rotation</w:t>
            </w:r>
          </w:p>
        </w:tc>
        <w:tc>
          <w:tcPr>
            <w:tcW w:type="dxa" w:w="2738"/>
            <w:tcBorders>
              <w:top w:val="single" w:color="C9D3D8" w:sz="4"/>
              <w:left w:val="single" w:color="C9D3D8" w:sz="4"/>
              <w:bottom w:val="single" w:color="C9D3D8" w:sz="4"/>
              <w:right w:val="single" w:color="C9D3D8" w:sz="4"/>
            </w:tcBorders>
            <w:shd w:fill="1E2761"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If compromised</w:t>
            </w:r>
          </w:p>
        </w:tc>
      </w:tr>
      <w:tr>
        <w:trPr>
          <w:cantSplit/>
        </w:trPr>
        <w:tc>
          <w:tcPr>
            <w:tcW w:type="dxa" w:w="23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Sigstore Code-Signing CA</w:t>
            </w:r>
          </w:p>
        </w:tc>
        <w:tc>
          <w:tcPr>
            <w:tcW w:type="dxa" w:w="26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AWS KMS P-384, multi-Region, sign-only roles</w:t>
            </w:r>
          </w:p>
        </w:tc>
        <w:tc>
          <w:tcPr>
            <w:tcW w:type="dxa" w:w="20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5 years, overlap via TUF</w:t>
            </w:r>
          </w:p>
        </w:tc>
        <w:tc>
          <w:tcPr>
            <w:tcW w:type="dxa" w:w="2738"/>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Disable key; new CA with end-time; review CT log</w:t>
            </w:r>
          </w:p>
        </w:tc>
      </w:tr>
      <w:tr>
        <w:trPr>
          <w:cantSplit/>
        </w:trPr>
        <w:tc>
          <w:tcPr>
            <w:tcW w:type="dxa" w:w="2300"/>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Timestamp Authority</w:t>
            </w:r>
          </w:p>
        </w:tc>
        <w:tc>
          <w:tcPr>
            <w:tcW w:type="dxa" w:w="2600"/>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AWS KMS P-384</w:t>
            </w:r>
          </w:p>
        </w:tc>
        <w:tc>
          <w:tcPr>
            <w:tcW w:type="dxa" w:w="2000"/>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5 years</w:t>
            </w:r>
          </w:p>
        </w:tc>
        <w:tc>
          <w:tcPr>
            <w:tcW w:type="dxa" w:w="2738"/>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Disable key; trusted-root update</w:t>
            </w:r>
          </w:p>
        </w:tc>
      </w:tr>
      <w:tr>
        <w:trPr>
          <w:cantSplit/>
        </w:trPr>
        <w:tc>
          <w:tcPr>
            <w:tcW w:type="dxa" w:w="23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TLS subordinates (2 Regions)</w:t>
            </w:r>
          </w:p>
        </w:tc>
        <w:tc>
          <w:tcPr>
            <w:tcW w:type="dxa" w:w="26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AWS Private CA</w:t>
            </w:r>
          </w:p>
        </w:tc>
        <w:tc>
          <w:tcPr>
            <w:tcW w:type="dxa" w:w="20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5 years; leaves automatic</w:t>
            </w:r>
          </w:p>
        </w:tc>
        <w:tc>
          <w:tcPr>
            <w:tcW w:type="dxa" w:w="2738"/>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Endpoint impersonation only, inside the name constraint</w:t>
            </w:r>
          </w:p>
        </w:tc>
      </w:tr>
      <w:tr>
        <w:trPr>
          <w:cantSplit/>
        </w:trPr>
        <w:tc>
          <w:tcPr>
            <w:tcW w:type="dxa" w:w="2300"/>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TUF root / targets</w:t>
            </w:r>
          </w:p>
        </w:tc>
        <w:tc>
          <w:tcPr>
            <w:tcW w:type="dxa" w:w="2600"/>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3 hardware tokens, 2-of-3</w:t>
            </w:r>
          </w:p>
        </w:tc>
        <w:tc>
          <w:tcPr>
            <w:tcW w:type="dxa" w:w="2000"/>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Root yearly; targets ≤ 5 months</w:t>
            </w:r>
          </w:p>
        </w:tc>
        <w:tc>
          <w:tcPr>
            <w:tcW w:type="dxa" w:w="2738"/>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Threshold limits damage</w:t>
            </w:r>
          </w:p>
        </w:tc>
      </w:tr>
      <w:tr>
        <w:trPr>
          <w:cantSplit/>
        </w:trPr>
        <w:tc>
          <w:tcPr>
            <w:tcW w:type="dxa" w:w="23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TUF snapshot / timestamp</w:t>
            </w:r>
          </w:p>
        </w:tc>
        <w:tc>
          <w:tcPr>
            <w:tcW w:type="dxa" w:w="26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AWS KMS online key</w:t>
            </w:r>
          </w:p>
        </w:tc>
        <w:tc>
          <w:tcPr>
            <w:tcW w:type="dxa" w:w="20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Re-signed every 6 h</w:t>
            </w:r>
          </w:p>
        </w:tc>
        <w:tc>
          <w:tcPr>
            <w:tcW w:type="dxa" w:w="2738"/>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Freeze or replay ≤ 7 days; cannot add trust</w:t>
            </w:r>
          </w:p>
        </w:tc>
      </w:tr>
    </w:tbl>
    <w:p>
      <w:pPr>
        <w:spacing w:after="120"/>
      </w:pPr>
    </w:p>
    <w:p>
      <w:pPr>
        <w:pStyle w:val="Heading2"/>
        <w:keepNext/>
      </w:pPr>
      <w:r>
        <w:t xml:space="preserve">Who can 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4300"/>
        <w:gridCol w:w="2938"/>
      </w:tblGrid>
      <w:tr>
        <w:trPr>
          <w:tblHeader/>
        </w:trPr>
        <w:tc>
          <w:tcPr>
            <w:tcW w:type="dxa" w:w="2400"/>
            <w:tcBorders>
              <w:top w:val="single" w:color="C9D3D8" w:sz="4"/>
              <w:left w:val="single" w:color="C9D3D8" w:sz="4"/>
              <w:bottom w:val="single" w:color="C9D3D8" w:sz="4"/>
              <w:right w:val="single" w:color="C9D3D8" w:sz="4"/>
            </w:tcBorders>
            <w:shd w:fill="1E2761"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Signer</w:t>
            </w:r>
          </w:p>
        </w:tc>
        <w:tc>
          <w:tcPr>
            <w:tcW w:type="dxa" w:w="4300"/>
            <w:tcBorders>
              <w:top w:val="single" w:color="C9D3D8" w:sz="4"/>
              <w:left w:val="single" w:color="C9D3D8" w:sz="4"/>
              <w:bottom w:val="single" w:color="C9D3D8" w:sz="4"/>
              <w:right w:val="single" w:color="C9D3D8" w:sz="4"/>
            </w:tcBorders>
            <w:shd w:fill="1E2761"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Identity in the certificate</w:t>
            </w:r>
          </w:p>
        </w:tc>
        <w:tc>
          <w:tcPr>
            <w:tcW w:type="dxa" w:w="2938"/>
            <w:tcBorders>
              <w:top w:val="single" w:color="C9D3D8" w:sz="4"/>
              <w:left w:val="single" w:color="C9D3D8" w:sz="4"/>
              <w:bottom w:val="single" w:color="C9D3D8" w:sz="4"/>
              <w:right w:val="single" w:color="C9D3D8" w:sz="4"/>
            </w:tcBorders>
            <w:shd w:fill="1E2761"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Accepted where</w:t>
            </w:r>
          </w:p>
        </w:tc>
      </w:tr>
      <w:tr>
        <w:trPr>
          <w:cantSplit/>
        </w:trPr>
        <w:tc>
          <w:tcPr>
            <w:tcW w:type="dxa" w:w="24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Central reusable workflow</w:t>
            </w:r>
          </w:p>
        </w:tc>
        <w:tc>
          <w:tcPr>
            <w:tcW w:type="dxa" w:w="43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https://github.com/example-bank/platform-workflows/.github/workflows/sign.yml@refs/heads/main (+ calling repository)</w:t>
            </w:r>
          </w:p>
        </w:tc>
        <w:tc>
          <w:tcPr>
            <w:tcW w:type="dxa" w:w="2938"/>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All namespaces (baseline); team policies narrow to repository and branch</w:t>
            </w:r>
          </w:p>
        </w:tc>
      </w:tr>
      <w:tr>
        <w:trPr>
          <w:cantSplit/>
        </w:trPr>
        <w:tc>
          <w:tcPr>
            <w:tcW w:type="dxa" w:w="2400"/>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Third-party import workflow</w:t>
            </w:r>
          </w:p>
        </w:tc>
        <w:tc>
          <w:tcPr>
            <w:tcW w:type="dxa" w:w="4300"/>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…/import-third-party.yml@refs/heads/main</w:t>
            </w:r>
          </w:p>
        </w:tc>
        <w:tc>
          <w:tcPr>
            <w:tcW w:type="dxa" w:w="2938"/>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vendor/ repositories only</w:t>
            </w:r>
          </w:p>
        </w:tc>
      </w:tr>
      <w:tr>
        <w:trPr>
          <w:cantSplit/>
        </w:trPr>
        <w:tc>
          <w:tcPr>
            <w:tcW w:type="dxa" w:w="24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Engineer via Entra ID / AD FS</w:t>
            </w:r>
          </w:p>
        </w:tc>
        <w:tc>
          <w:tcPr>
            <w:tcW w:type="dxa" w:w="43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name@example-bank.com, issuer …/realms/staff</w:t>
            </w:r>
          </w:p>
        </w:tc>
        <w:tc>
          <w:tcPr>
            <w:tcW w:type="dxa" w:w="2938"/>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Only namespaces that opt in (break-glass), with an alert</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0F7C80" w:sz="24"/>
              <w:bottom w:val="none" w:color="FFFFFF" w:sz="0"/>
              <w:right w:val="none" w:color="FFFFFF" w:sz="0"/>
            </w:tcBorders>
            <w:shd w:fill="EAF2F4" w:color="auto" w:val="clear"/>
            <w:tcMar>
              <w:top w:type="dxa" w:w="140"/>
              <w:left w:type="dxa" w:w="200"/>
              <w:bottom w:type="dxa" w:w="140"/>
              <w:right w:type="dxa" w:w="200"/>
            </w:tcMar>
          </w:tcPr>
          <w:p>
            <w:pPr>
              <w:spacing w:after="60"/>
            </w:pPr>
            <w:r>
              <w:rPr>
                <w:rFonts w:ascii="Calibri" w:cs="Calibri" w:eastAsia="Calibri" w:hAnsi="Calibri"/>
                <w:b/>
                <w:bCs/>
                <w:color w:val="0F7C80"/>
                <w:sz w:val="21"/>
                <w:szCs w:val="21"/>
              </w:rPr>
              <w:t xml:space="preserve">Why the workflow identity is meaningful</w:t>
            </w:r>
          </w:p>
          <w:p>
            <w:pPr>
              <w:spacing w:after="0"/>
            </w:pPr>
            <w:r>
              <w:rPr>
                <w:rFonts w:ascii="Calibri" w:cs="Calibri" w:eastAsia="Calibri" w:hAnsi="Calibri"/>
                <w:sz w:val="21"/>
                <w:szCs w:val="21"/>
              </w:rPr>
              <w:t xml:space="preserve">Every production signature names the same reviewed workflow. That is only trustworthy because changes to platform-workflows need platform review, main is protected, actions are SHA-pinned and the signing runner group accepts only that repository's workflows.</w:t>
            </w:r>
          </w:p>
        </w:tc>
      </w:tr>
    </w:tbl>
    <w:p>
      <w:pPr>
        <w:pStyle w:val="Heading1"/>
        <w:pageBreakBefore/>
      </w:pPr>
      <w:r>
        <w:t xml:space="preserve">4. Every cluster, every cloud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900"/>
        <w:gridCol w:w="2400"/>
        <w:gridCol w:w="2338"/>
      </w:tblGrid>
      <w:tr>
        <w:trPr>
          <w:tblHeader/>
        </w:trPr>
        <w:tc>
          <w:tcPr>
            <w:tcW w:type="dxa" w:w="2000"/>
            <w:tcBorders>
              <w:top w:val="single" w:color="C9D3D8" w:sz="4"/>
              <w:left w:val="single" w:color="C9D3D8" w:sz="4"/>
              <w:bottom w:val="single" w:color="C9D3D8" w:sz="4"/>
              <w:right w:val="single" w:color="C9D3D8" w:sz="4"/>
            </w:tcBorders>
            <w:shd w:fill="1E2761"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Platform</w:t>
            </w:r>
          </w:p>
        </w:tc>
        <w:tc>
          <w:tcPr>
            <w:tcW w:type="dxa" w:w="2900"/>
            <w:tcBorders>
              <w:top w:val="single" w:color="C9D3D8" w:sz="4"/>
              <w:left w:val="single" w:color="C9D3D8" w:sz="4"/>
              <w:bottom w:val="single" w:color="C9D3D8" w:sz="4"/>
              <w:right w:val="single" w:color="C9D3D8" w:sz="4"/>
            </w:tcBorders>
            <w:shd w:fill="1E2761"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Enforcement</w:t>
            </w:r>
          </w:p>
        </w:tc>
        <w:tc>
          <w:tcPr>
            <w:tcW w:type="dxa" w:w="2400"/>
            <w:tcBorders>
              <w:top w:val="single" w:color="C9D3D8" w:sz="4"/>
              <w:left w:val="single" w:color="C9D3D8" w:sz="4"/>
              <w:bottom w:val="single" w:color="C9D3D8" w:sz="4"/>
              <w:right w:val="single" w:color="C9D3D8" w:sz="4"/>
            </w:tcBorders>
            <w:shd w:fill="1E2761"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Trust data from</w:t>
            </w:r>
          </w:p>
        </w:tc>
        <w:tc>
          <w:tcPr>
            <w:tcW w:type="dxa" w:w="2338"/>
            <w:tcBorders>
              <w:top w:val="single" w:color="C9D3D8" w:sz="4"/>
              <w:left w:val="single" w:color="C9D3D8" w:sz="4"/>
              <w:bottom w:val="single" w:color="C9D3D8" w:sz="4"/>
              <w:right w:val="single" w:color="C9D3D8" w:sz="4"/>
            </w:tcBorders>
            <w:shd w:fill="1E2761"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Signatures from</w:t>
            </w:r>
          </w:p>
        </w:tc>
      </w:tr>
      <w:tr>
        <w:trPr>
          <w:cantSplit/>
        </w:trPr>
        <w:tc>
          <w:tcPr>
            <w:tcW w:type="dxa" w:w="20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Amazon EKS</w:t>
            </w:r>
          </w:p>
        </w:tc>
        <w:tc>
          <w:tcPr>
            <w:tcW w:type="dxa" w:w="29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Kyverno ImageValidatingPolicy</w:t>
            </w:r>
          </w:p>
        </w:tc>
        <w:tc>
          <w:tcPr>
            <w:tcW w:type="dxa" w:w="24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tuf.sigstore.corp.example (trust ALB)</w:t>
            </w:r>
          </w:p>
        </w:tc>
        <w:tc>
          <w:tcPr>
            <w:tcW w:type="dxa" w:w="2338"/>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ECR (bundles as OCI referrers)</w:t>
            </w:r>
          </w:p>
        </w:tc>
      </w:tr>
      <w:tr>
        <w:trPr>
          <w:cantSplit/>
        </w:trPr>
        <w:tc>
          <w:tcPr>
            <w:tcW w:type="dxa" w:w="2000"/>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Azure AKS</w:t>
            </w:r>
          </w:p>
        </w:tc>
        <w:tc>
          <w:tcPr>
            <w:tcW w:type="dxa" w:w="2900"/>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Kyverno</w:t>
            </w:r>
          </w:p>
        </w:tc>
        <w:tc>
          <w:tcPr>
            <w:tcW w:type="dxa" w:w="2400"/>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Azure Blob replica (private endpoint)</w:t>
            </w:r>
          </w:p>
        </w:tc>
        <w:tc>
          <w:tcPr>
            <w:tcW w:type="dxa" w:w="2338"/>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ACR, promoted with oras cp -r</w:t>
            </w:r>
          </w:p>
        </w:tc>
      </w:tr>
      <w:tr>
        <w:trPr>
          <w:cantSplit/>
        </w:trPr>
        <w:tc>
          <w:tcPr>
            <w:tcW w:type="dxa" w:w="20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OpenShift (ARO / on-prem)</w:t>
            </w:r>
          </w:p>
        </w:tc>
        <w:tc>
          <w:tcPr>
            <w:tcW w:type="dxa" w:w="29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Kyverno; optional native ClusterImagePolicy for e-mail identities</w:t>
            </w:r>
          </w:p>
        </w:tc>
        <w:tc>
          <w:tcPr>
            <w:tcW w:type="dxa" w:w="24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Nearest replica</w:t>
            </w:r>
          </w:p>
        </w:tc>
        <w:tc>
          <w:tcPr>
            <w:tcW w:type="dxa" w:w="2338"/>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ACR / Harbor / Quay</w:t>
            </w:r>
          </w:p>
        </w:tc>
      </w:tr>
      <w:tr>
        <w:trPr>
          <w:cantSplit/>
        </w:trPr>
        <w:tc>
          <w:tcPr>
            <w:tcW w:type="dxa" w:w="2000"/>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On-prem Kubernetes</w:t>
            </w:r>
          </w:p>
        </w:tc>
        <w:tc>
          <w:tcPr>
            <w:tcW w:type="dxa" w:w="2900"/>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Kyverno</w:t>
            </w:r>
          </w:p>
        </w:tc>
        <w:tc>
          <w:tcPr>
            <w:tcW w:type="dxa" w:w="2400"/>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On-prem replica</w:t>
            </w:r>
          </w:p>
        </w:tc>
        <w:tc>
          <w:tcPr>
            <w:tcW w:type="dxa" w:w="2338"/>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Harbor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0F7C80" w:sz="24"/>
              <w:bottom w:val="none" w:color="FFFFFF" w:sz="0"/>
              <w:right w:val="none" w:color="FFFFFF" w:sz="0"/>
            </w:tcBorders>
            <w:shd w:fill="EAF2F4" w:color="auto" w:val="clear"/>
            <w:tcMar>
              <w:top w:type="dxa" w:w="140"/>
              <w:left w:type="dxa" w:w="200"/>
              <w:bottom w:type="dxa" w:w="140"/>
              <w:right w:type="dxa" w:w="200"/>
            </w:tcMar>
          </w:tcPr>
          <w:p>
            <w:pPr>
              <w:spacing w:after="60"/>
            </w:pPr>
            <w:r>
              <w:rPr>
                <w:rFonts w:ascii="Calibri" w:cs="Calibri" w:eastAsia="Calibri" w:hAnsi="Calibri"/>
                <w:b/>
                <w:bCs/>
                <w:color w:val="0F7C80"/>
                <w:sz w:val="21"/>
                <w:szCs w:val="21"/>
              </w:rPr>
              <w:t xml:space="preserve">The one operational dependency</w:t>
            </w:r>
          </w:p>
          <w:p>
            <w:pPr>
              <w:spacing w:after="0"/>
            </w:pPr>
            <w:r>
              <w:rPr>
                <w:rFonts w:ascii="Calibri" w:cs="Calibri" w:eastAsia="Calibri" w:hAnsi="Calibri"/>
                <w:sz w:val="21"/>
                <w:szCs w:val="21"/>
              </w:rPr>
              <w:t xml:space="preserve">Trust data carries a 7-day timestamp, re-signed every 6 hours. If a replica stops refreshing for 7 days, verification fails closed. Freshness is probed per replica and alerts at 3 days remaining.</w:t>
            </w:r>
          </w:p>
        </w:tc>
      </w:tr>
    </w:tbl>
    <w:p>
      <w:pPr>
        <w:pStyle w:val="Heading1"/>
        <w:pageBreakBefore/>
      </w:pPr>
      <w:r>
        <w:t xml:space="preserve">5. Operations, resilience and security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438"/>
      </w:tblGrid>
      <w:tr>
        <w:trPr>
          <w:tblHeader/>
        </w:trPr>
        <w:tc>
          <w:tcPr>
            <w:tcW w:type="dxa" w:w="2200"/>
            <w:tcBorders>
              <w:top w:val="single" w:color="C9D3D8" w:sz="4"/>
              <w:left w:val="single" w:color="C9D3D8" w:sz="4"/>
              <w:bottom w:val="single" w:color="C9D3D8" w:sz="4"/>
              <w:right w:val="single" w:color="C9D3D8" w:sz="4"/>
            </w:tcBorders>
            <w:shd w:fill="1E2761"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Topic</w:t>
            </w:r>
          </w:p>
        </w:tc>
        <w:tc>
          <w:tcPr>
            <w:tcW w:type="dxa" w:w="7438"/>
            <w:tcBorders>
              <w:top w:val="single" w:color="C9D3D8" w:sz="4"/>
              <w:left w:val="single" w:color="C9D3D8" w:sz="4"/>
              <w:bottom w:val="single" w:color="C9D3D8" w:sz="4"/>
              <w:right w:val="single" w:color="C9D3D8" w:sz="4"/>
            </w:tcBorders>
            <w:shd w:fill="1E2761"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Design</w:t>
            </w:r>
          </w:p>
        </w:tc>
      </w:tr>
      <w:tr>
        <w:trPr>
          <w:cantSplit/>
        </w:trPr>
        <w:tc>
          <w:tcPr>
            <w:tcW w:type="dxa" w:w="22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Availability</w:t>
            </w:r>
          </w:p>
        </w:tc>
        <w:tc>
          <w:tcPr>
            <w:tcW w:type="dxa" w:w="7438"/>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3 Availability Zones; warm standby in me-south-1; signing SLO 99.9% monthly</w:t>
            </w:r>
          </w:p>
        </w:tc>
      </w:tr>
      <w:tr>
        <w:trPr>
          <w:cantSplit/>
        </w:trPr>
        <w:tc>
          <w:tcPr>
            <w:tcW w:type="dxa" w:w="2200"/>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Recovery</w:t>
            </w:r>
          </w:p>
        </w:tc>
        <w:tc>
          <w:tcPr>
            <w:tcW w:type="dxa" w:w="7438"/>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RPO ≤ 1 minute for logs (Aurora Global Database); signing RTO 1 hour; verification has no dependency on the Region</w:t>
            </w:r>
          </w:p>
        </w:tc>
      </w:tr>
      <w:tr>
        <w:trPr>
          <w:cantSplit/>
        </w:trPr>
        <w:tc>
          <w:tcPr>
            <w:tcW w:type="dxa" w:w="22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Network</w:t>
            </w:r>
          </w:p>
        </w:tc>
        <w:tc>
          <w:tcPr>
            <w:tcW w:type="dxa" w:w="7438"/>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No internet gateway; egress via Transit Gateway to the central inspection VPC plus a DNS allowlist; org-only VPC endpoints; separate ALBs for signing and trust</w:t>
            </w:r>
          </w:p>
        </w:tc>
      </w:tr>
      <w:tr>
        <w:trPr>
          <w:cantSplit/>
        </w:trPr>
        <w:tc>
          <w:tcPr>
            <w:tcW w:type="dxa" w:w="2200"/>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Access</w:t>
            </w:r>
          </w:p>
        </w:tc>
        <w:tc>
          <w:tcPr>
            <w:tcW w:type="dxa" w:w="7438"/>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No static AWS keys (IRSA); key policies separate admin from use; ceremony signing only inside a time window</w:t>
            </w:r>
          </w:p>
        </w:tc>
      </w:tr>
      <w:tr>
        <w:trPr>
          <w:cantSplit/>
        </w:trPr>
        <w:tc>
          <w:tcPr>
            <w:tcW w:type="dxa" w:w="22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Monitoring</w:t>
            </w:r>
          </w:p>
        </w:tc>
        <w:tc>
          <w:tcPr>
            <w:tcW w:type="dxa" w:w="7438"/>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rekor-monitor consistency checks; CloudTrail alarms on any key use outside the expected role; TUF freshness per replica</w:t>
            </w:r>
          </w:p>
        </w:tc>
      </w:tr>
      <w:tr>
        <w:trPr>
          <w:cantSplit/>
        </w:trPr>
        <w:tc>
          <w:tcPr>
            <w:tcW w:type="dxa" w:w="2200"/>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Source integrity</w:t>
            </w:r>
          </w:p>
        </w:tc>
        <w:tc>
          <w:tcPr>
            <w:tcW w:type="dxa" w:w="7438"/>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Engineers sign commits and tags with gitsign (same corporate login, CA and log); a required pull-request check verifies them against our trust root</w:t>
            </w:r>
          </w:p>
        </w:tc>
      </w:tr>
      <w:tr>
        <w:trPr>
          <w:cantSplit/>
        </w:trPr>
        <w:tc>
          <w:tcPr>
            <w:tcW w:type="dxa" w:w="22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Emergency release</w:t>
            </w:r>
          </w:p>
        </w:tc>
        <w:tc>
          <w:tcPr>
            <w:tcW w:type="dxa" w:w="7438"/>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Per-namespace break-glass label settable only by the platform Argo CD; pages security on-call</w:t>
            </w:r>
          </w:p>
        </w:tc>
      </w:tr>
    </w:tbl>
    <w:p>
      <w:pPr>
        <w:spacing w:after="120"/>
      </w:pPr>
    </w:p>
    <w:p>
      <w:pPr>
        <w:pStyle w:val="Heading2"/>
        <w:keepNext/>
      </w:pPr>
      <w:r>
        <w:t xml:space="preserve">Evidence of quality so far</w:t>
      </w:r>
    </w:p>
    <w:p>
      <w:pPr>
        <w:pStyle w:val="ListParagraph"/>
        <w:numPr>
          <w:ilvl w:val="0"/>
          <w:numId w:val="2"/>
        </w:numPr>
        <w:spacing w:after="60"/>
      </w:pPr>
      <w:r>
        <w:rPr>
          <w:rFonts w:ascii="Calibri" w:cs="Calibri" w:eastAsia="Calibri" w:hAnsi="Calibri"/>
          <w:sz w:val="21"/>
          <w:szCs w:val="21"/>
        </w:rPr>
        <w:t xml:space="preserve">Ceremony tooling tested against real Fulcio v1.9.0 and TSA v2.1.4 binaries, including the failure cases.</w:t>
      </w:r>
    </w:p>
    <w:p>
      <w:pPr>
        <w:pStyle w:val="ListParagraph"/>
        <w:numPr>
          <w:ilvl w:val="0"/>
          <w:numId w:val="2"/>
        </w:numPr>
        <w:spacing w:after="60"/>
      </w:pPr>
      <w:r>
        <w:rPr>
          <w:rFonts w:ascii="Calibri" w:cs="Calibri" w:eastAsia="Calibri" w:hAnsi="Calibri"/>
          <w:sz w:val="21"/>
          <w:szCs w:val="21"/>
        </w:rPr>
        <w:t xml:space="preserve">Terraform: validate, tflint (AWS ruleset) and checkov with 0 failures; every skip has a written reason.</w:t>
      </w:r>
    </w:p>
    <w:p>
      <w:pPr>
        <w:pStyle w:val="ListParagraph"/>
        <w:numPr>
          <w:ilvl w:val="0"/>
          <w:numId w:val="2"/>
        </w:numPr>
        <w:spacing w:after="60"/>
      </w:pPr>
      <w:r>
        <w:rPr>
          <w:rFonts w:ascii="Calibri" w:cs="Calibri" w:eastAsia="Calibri" w:hAnsi="Calibri"/>
          <w:sz w:val="21"/>
          <w:szCs w:val="21"/>
        </w:rPr>
        <w:t xml:space="preserve">Helm and manifests: strict kubeconform of 647 rendered objects against the real CRD schemas; Kyverno CLI behaviour tests.</w:t>
      </w:r>
    </w:p>
    <w:p>
      <w:pPr>
        <w:pStyle w:val="ListParagraph"/>
        <w:numPr>
          <w:ilvl w:val="0"/>
          <w:numId w:val="2"/>
        </w:numPr>
        <w:spacing w:after="60"/>
      </w:pPr>
      <w:r>
        <w:rPr>
          <w:rFonts w:ascii="Calibri" w:cs="Calibri" w:eastAsia="Calibri" w:hAnsi="Calibri"/>
          <w:sz w:val="21"/>
          <w:szCs w:val="21"/>
        </w:rPr>
        <w:t xml:space="preserve">Offline end-to-end test on a laptop stack: keyless image signing and verification, TUF bootstrap, Kyverno admission, and gitsign commit and tag signing, including negative tests.</w:t>
      </w:r>
    </w:p>
    <w:p>
      <w:pPr>
        <w:pStyle w:val="ListParagraph"/>
        <w:numPr>
          <w:ilvl w:val="0"/>
          <w:numId w:val="2"/>
        </w:numPr>
        <w:spacing w:after="60"/>
      </w:pPr>
      <w:r>
        <w:rPr>
          <w:rFonts w:ascii="Calibri" w:cs="Calibri" w:eastAsia="Calibri" w:hAnsi="Calibri"/>
          <w:sz w:val="21"/>
          <w:szCs w:val="21"/>
        </w:rPr>
        <w:t xml:space="preserve">TUF tooling: end-to-end test including threshold enforcement, tamper detection and cosign initialize.</w:t>
      </w:r>
    </w:p>
    <w:p>
      <w:pPr>
        <w:pStyle w:val="ListParagraph"/>
        <w:numPr>
          <w:ilvl w:val="0"/>
          <w:numId w:val="2"/>
        </w:numPr>
        <w:spacing w:after="60"/>
      </w:pPr>
      <w:r>
        <w:rPr>
          <w:rFonts w:ascii="Calibri" w:cs="Calibri" w:eastAsia="Calibri" w:hAnsi="Calibri"/>
          <w:sz w:val="21"/>
          <w:szCs w:val="21"/>
        </w:rPr>
        <w:t xml:space="preserve">An independent validator reviewed the design against source code and vendor documentation in five rounds (including the gitsign additions); every finding was fixed and the last round was clean.</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38"/>
      </w:tblGrid>
      <w:tr>
        <w:tc>
          <w:tcPr>
            <w:tcW w:type="dxa" w:w="9638"/>
            <w:tcBorders>
              <w:top w:val="none" w:color="FFFFFF" w:sz="0"/>
              <w:left w:val="single" w:color="0F7C80" w:sz="24"/>
              <w:bottom w:val="none" w:color="FFFFFF" w:sz="0"/>
              <w:right w:val="none" w:color="FFFFFF" w:sz="0"/>
            </w:tcBorders>
            <w:shd w:fill="EAF2F4" w:color="auto" w:val="clear"/>
            <w:tcMar>
              <w:top w:type="dxa" w:w="140"/>
              <w:left w:type="dxa" w:w="200"/>
              <w:bottom w:type="dxa" w:w="140"/>
              <w:right w:type="dxa" w:w="200"/>
            </w:tcMar>
          </w:tcPr>
          <w:p>
            <w:pPr>
              <w:spacing w:after="60"/>
            </w:pPr>
            <w:r>
              <w:rPr>
                <w:rFonts w:ascii="Calibri" w:cs="Calibri" w:eastAsia="Calibri" w:hAnsi="Calibri"/>
                <w:b/>
                <w:bCs/>
                <w:color w:val="0F7C80"/>
                <w:sz w:val="21"/>
                <w:szCs w:val="21"/>
              </w:rPr>
              <w:t xml:space="preserve">Not yet done</w:t>
            </w:r>
          </w:p>
          <w:p>
            <w:pPr>
              <w:spacing w:after="0"/>
            </w:pPr>
            <w:r>
              <w:rPr>
                <w:rFonts w:ascii="Calibri" w:cs="Calibri" w:eastAsia="Calibri" w:hAnsi="Calibri"/>
                <w:sz w:val="21"/>
                <w:szCs w:val="21"/>
              </w:rPr>
              <w:t xml:space="preserve">Nothing has been applied to an AWS account. The deployment runbook starts with a sandbox run and an 11-step smoke test that must pass before any environment.</w:t>
            </w:r>
          </w:p>
        </w:tc>
      </w:tr>
    </w:tbl>
    <w:p>
      <w:pPr>
        <w:pStyle w:val="Heading1"/>
        <w:pageBreakBefore/>
      </w:pPr>
      <w:r>
        <w:t xml:space="preserve">6. Plan and decisions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1100"/>
        <w:gridCol w:w="5538"/>
      </w:tblGrid>
      <w:tr>
        <w:trPr>
          <w:tblHeader/>
        </w:trPr>
        <w:tc>
          <w:tcPr>
            <w:tcW w:type="dxa" w:w="3000"/>
            <w:tcBorders>
              <w:top w:val="single" w:color="C9D3D8" w:sz="4"/>
              <w:left w:val="single" w:color="C9D3D8" w:sz="4"/>
              <w:bottom w:val="single" w:color="C9D3D8" w:sz="4"/>
              <w:right w:val="single" w:color="C9D3D8" w:sz="4"/>
            </w:tcBorders>
            <w:shd w:fill="1E2761"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Phase</w:t>
            </w:r>
          </w:p>
        </w:tc>
        <w:tc>
          <w:tcPr>
            <w:tcW w:type="dxa" w:w="1100"/>
            <w:tcBorders>
              <w:top w:val="single" w:color="C9D3D8" w:sz="4"/>
              <w:left w:val="single" w:color="C9D3D8" w:sz="4"/>
              <w:bottom w:val="single" w:color="C9D3D8" w:sz="4"/>
              <w:right w:val="single" w:color="C9D3D8" w:sz="4"/>
            </w:tcBorders>
            <w:shd w:fill="1E2761"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Weeks</w:t>
            </w:r>
          </w:p>
        </w:tc>
        <w:tc>
          <w:tcPr>
            <w:tcW w:type="dxa" w:w="5538"/>
            <w:tcBorders>
              <w:top w:val="single" w:color="C9D3D8" w:sz="4"/>
              <w:left w:val="single" w:color="C9D3D8" w:sz="4"/>
              <w:bottom w:val="single" w:color="C9D3D8" w:sz="4"/>
              <w:right w:val="single" w:color="C9D3D8" w:sz="4"/>
            </w:tcBorders>
            <w:shd w:fill="1E2761" w:color="auto" w:val="clear"/>
            <w:tcMar>
              <w:top w:type="dxa" w:w="70"/>
              <w:left w:type="dxa" w:w="110"/>
              <w:bottom w:type="dxa" w:w="70"/>
              <w:right w:type="dxa" w:w="110"/>
            </w:tcMar>
          </w:tcPr>
          <w:p>
            <w:pPr>
              <w:spacing w:after="0"/>
            </w:pPr>
            <w:r>
              <w:rPr>
                <w:rFonts w:ascii="Calibri" w:cs="Calibri" w:eastAsia="Calibri" w:hAnsi="Calibri"/>
                <w:b/>
                <w:bCs/>
                <w:color w:val="FFFFFF"/>
                <w:sz w:val="19"/>
                <w:szCs w:val="19"/>
              </w:rPr>
              <w:t xml:space="preserve">Outcome</w:t>
            </w:r>
          </w:p>
        </w:tc>
      </w:tr>
      <w:tr>
        <w:trPr>
          <w:cantSplit/>
        </w:trPr>
        <w:tc>
          <w:tcPr>
            <w:tcW w:type="dxa" w:w="30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0  Decisions and ceremony prep</w:t>
            </w:r>
          </w:p>
        </w:tc>
        <w:tc>
          <w:tcPr>
            <w:tcW w:type="dxa" w:w="11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1–2</w:t>
            </w:r>
          </w:p>
        </w:tc>
        <w:tc>
          <w:tcPr>
            <w:tcW w:type="dxa" w:w="5538"/>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D1–D5 signed off; ceremony booked; GitHub issuer change planned with IAM owners</w:t>
            </w:r>
          </w:p>
        </w:tc>
      </w:tr>
      <w:tr>
        <w:trPr>
          <w:cantSplit/>
        </w:trPr>
        <w:tc>
          <w:tcPr>
            <w:tcW w:type="dxa" w:w="3000"/>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1  Foundations</w:t>
            </w:r>
          </w:p>
        </w:tc>
        <w:tc>
          <w:tcPr>
            <w:tcW w:type="dxa" w:w="1100"/>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2–3</w:t>
            </w:r>
          </w:p>
        </w:tc>
        <w:tc>
          <w:tcPr>
            <w:tcW w:type="dxa" w:w="5538"/>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Accounts, network, KMS, Private CA; key ceremony; dev platform smoke test green</w:t>
            </w:r>
          </w:p>
        </w:tc>
      </w:tr>
      <w:tr>
        <w:trPr>
          <w:cantSplit/>
        </w:trPr>
        <w:tc>
          <w:tcPr>
            <w:tcW w:type="dxa" w:w="30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2  Pilot</w:t>
            </w:r>
          </w:p>
        </w:tc>
        <w:tc>
          <w:tcPr>
            <w:tcW w:type="dxa" w:w="11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3–4</w:t>
            </w:r>
          </w:p>
        </w:tc>
        <w:tc>
          <w:tcPr>
            <w:tcW w:type="dxa" w:w="5538"/>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Prod platform; 3 pilot repositories signing; Kyverno Audit on one EKS and one AKS cluster</w:t>
            </w:r>
          </w:p>
        </w:tc>
      </w:tr>
      <w:tr>
        <w:trPr>
          <w:cantSplit/>
        </w:trPr>
        <w:tc>
          <w:tcPr>
            <w:tcW w:type="dxa" w:w="3000"/>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3  Adoption</w:t>
            </w:r>
          </w:p>
        </w:tc>
        <w:tc>
          <w:tcPr>
            <w:tcW w:type="dxa" w:w="1100"/>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4–8</w:t>
            </w:r>
          </w:p>
        </w:tc>
        <w:tc>
          <w:tcPr>
            <w:tcW w:type="dxa" w:w="5538"/>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All deploying repositories use the reusable workflow; Audit on every cluster</w:t>
            </w:r>
          </w:p>
        </w:tc>
      </w:tr>
      <w:tr>
        <w:trPr>
          <w:cantSplit/>
        </w:trPr>
        <w:tc>
          <w:tcPr>
            <w:tcW w:type="dxa" w:w="30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4  Enforcement</w:t>
            </w:r>
          </w:p>
        </w:tc>
        <w:tc>
          <w:tcPr>
            <w:tcW w:type="dxa" w:w="1100"/>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2 per tier</w:t>
            </w:r>
          </w:p>
        </w:tc>
        <w:tc>
          <w:tcPr>
            <w:tcW w:type="dxa" w:w="5538"/>
            <w:tcBorders>
              <w:top w:val="single" w:color="C9D3D8" w:sz="4"/>
              <w:left w:val="single" w:color="C9D3D8" w:sz="4"/>
              <w:bottom w:val="single" w:color="C9D3D8" w:sz="4"/>
              <w:right w:val="single" w:color="C9D3D8" w:sz="4"/>
            </w:tcBorders>
            <w:shd w:fill="FFFFFF"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Deny by tier: dev → staging → non-critical prod → critical prod</w:t>
            </w:r>
          </w:p>
        </w:tc>
      </w:tr>
      <w:tr>
        <w:trPr>
          <w:cantSplit/>
        </w:trPr>
        <w:tc>
          <w:tcPr>
            <w:tcW w:type="dxa" w:w="3000"/>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bCs/>
                <w:sz w:val="19"/>
                <w:szCs w:val="19"/>
              </w:rPr>
              <w:t xml:space="preserve">5  Operate</w:t>
            </w:r>
          </w:p>
        </w:tc>
        <w:tc>
          <w:tcPr>
            <w:tcW w:type="dxa" w:w="1100"/>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ongoing</w:t>
            </w:r>
          </w:p>
        </w:tc>
        <w:tc>
          <w:tcPr>
            <w:tcW w:type="dxa" w:w="5538"/>
            <w:tcBorders>
              <w:top w:val="single" w:color="C9D3D8" w:sz="4"/>
              <w:left w:val="single" w:color="C9D3D8" w:sz="4"/>
              <w:bottom w:val="single" w:color="C9D3D8" w:sz="4"/>
              <w:right w:val="single" w:color="C9D3D8" w:sz="4"/>
            </w:tcBorders>
            <w:shd w:fill="EAF2F4" w:color="auto" w:val="clear"/>
            <w:tcMar>
              <w:top w:type="dxa" w:w="70"/>
              <w:left w:type="dxa" w:w="110"/>
              <w:bottom w:type="dxa" w:w="70"/>
              <w:right w:type="dxa" w:w="110"/>
            </w:tcMar>
          </w:tcPr>
          <w:p>
            <w:pPr>
              <w:spacing w:after="0"/>
            </w:pPr>
            <w:r>
              <w:rPr>
                <w:rFonts w:ascii="Calibri" w:cs="Calibri" w:eastAsia="Calibri" w:hAnsi="Calibri"/>
                <w:b w:val="false"/>
                <w:bCs w:val="false"/>
                <w:sz w:val="19"/>
                <w:szCs w:val="19"/>
              </w:rPr>
              <w:t xml:space="preserve">Rotation calendar, quarterly DR and access reviews</w:t>
            </w:r>
          </w:p>
        </w:tc>
      </w:tr>
    </w:tbl>
    <w:p>
      <w:pPr>
        <w:spacing w:after="120"/>
      </w:pPr>
    </w:p>
    <w:p>
      <w:pPr>
        <w:pStyle w:val="Heading2"/>
        <w:keepNext/>
      </w:pPr>
      <w:r>
        <w:t xml:space="preserve">Decisions requested</w:t>
      </w:r>
    </w:p>
    <w:p>
      <w:pPr>
        <w:pStyle w:val="ListParagraph"/>
        <w:numPr>
          <w:ilvl w:val="0"/>
          <w:numId w:val="2"/>
        </w:numPr>
        <w:spacing w:after="60"/>
      </w:pPr>
      <w:r>
        <w:rPr>
          <w:rFonts w:ascii="Calibri" w:cs="Calibri" w:eastAsia="Calibri" w:hAnsi="Calibri"/>
          <w:sz w:val="21"/>
          <w:szCs w:val="21"/>
        </w:rPr>
        <w:t xml:space="preserve">D1 — accept AWS KMS (FIPS 140-3 Level 3) for the CA key, or require CloudHSM.</w:t>
      </w:r>
    </w:p>
    <w:p>
      <w:pPr>
        <w:pStyle w:val="ListParagraph"/>
        <w:numPr>
          <w:ilvl w:val="0"/>
          <w:numId w:val="2"/>
        </w:numPr>
        <w:spacing w:after="60"/>
      </w:pPr>
      <w:r>
        <w:rPr>
          <w:rFonts w:ascii="Calibri" w:cs="Calibri" w:eastAsia="Calibri" w:hAnsi="Calibri"/>
          <w:sz w:val="21"/>
          <w:szCs w:val="21"/>
        </w:rPr>
        <w:t xml:space="preserve">D2 — enable the GitHub enterprise-unique OIDC issuer (updates existing cloud OIDC trusts).</w:t>
      </w:r>
    </w:p>
    <w:p>
      <w:pPr>
        <w:pStyle w:val="ListParagraph"/>
        <w:numPr>
          <w:ilvl w:val="0"/>
          <w:numId w:val="2"/>
        </w:numPr>
        <w:spacing w:after="60"/>
      </w:pPr>
      <w:r>
        <w:rPr>
          <w:rFonts w:ascii="Calibri" w:cs="Calibri" w:eastAsia="Calibri" w:hAnsi="Calibri"/>
          <w:sz w:val="21"/>
          <w:szCs w:val="21"/>
        </w:rPr>
        <w:t xml:space="preserve">D3 — confirm me-south-1 (Bahrain) as DR Region for data residency.</w:t>
      </w:r>
    </w:p>
    <w:p>
      <w:pPr>
        <w:pStyle w:val="ListParagraph"/>
        <w:numPr>
          <w:ilvl w:val="0"/>
          <w:numId w:val="2"/>
        </w:numPr>
        <w:spacing w:after="60"/>
      </w:pPr>
      <w:r>
        <w:rPr>
          <w:rFonts w:ascii="Calibri" w:cs="Calibri" w:eastAsia="Calibri" w:hAnsi="Calibri"/>
          <w:sz w:val="21"/>
          <w:szCs w:val="21"/>
        </w:rPr>
        <w:t xml:space="preserve">D4 — build on upstream now, with Red Hat Trusted Artifact Signer as the supported exit path.</w:t>
      </w:r>
    </w:p>
    <w:p>
      <w:pPr>
        <w:pStyle w:val="ListParagraph"/>
        <w:numPr>
          <w:ilvl w:val="0"/>
          <w:numId w:val="2"/>
        </w:numPr>
        <w:spacing w:after="60"/>
      </w:pPr>
      <w:r>
        <w:rPr>
          <w:rFonts w:ascii="Calibri" w:cs="Calibri" w:eastAsia="Calibri" w:hAnsi="Calibri"/>
          <w:sz w:val="21"/>
          <w:szCs w:val="21"/>
        </w:rPr>
        <w:t xml:space="preserve">D5 — no use of public-good Rekor for internal artifacts.</w:t>
      </w:r>
    </w:p>
    <w:p>
      <w:pPr>
        <w:pStyle w:val="ListParagraph"/>
        <w:numPr>
          <w:ilvl w:val="0"/>
          <w:numId w:val="2"/>
        </w:numPr>
        <w:spacing w:after="60"/>
      </w:pPr>
      <w:r>
        <w:rPr>
          <w:rFonts w:ascii="Calibri" w:cs="Calibri" w:eastAsia="Calibri" w:hAnsi="Calibri"/>
          <w:sz w:val="21"/>
          <w:szCs w:val="21"/>
        </w:rPr>
        <w:t xml:space="preserve">Nominate two root CA custodians and three TUF key holders; approve the enforcement and exception policy.</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770"/>
        <w:sz w:val="16"/>
        <w:szCs w:val="16"/>
      </w:rPr>
      <w:t xml:space="preserve">Page </w:t>
    </w:r>
    <w:r>
      <w:rPr>
        <w:rFonts w:ascii="Calibri" w:cs="Calibri" w:eastAsia="Calibri" w:hAnsi="Calibri"/>
        <w:color w:val="5B677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B6770"/>
        <w:sz w:val="16"/>
        <w:szCs w:val="16"/>
      </w:rPr>
      <w:t xml:space="preserve">Private Sigstore Platform · Executive Design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E2761"/>
      <w:sz w:val="36"/>
      <w:szCs w:val="36"/>
    </w:rPr>
  </w:style>
  <w:style w:type="paragraph" w:styleId="Heading2">
    <w:name w:val="Heading 2"/>
    <w:basedOn w:val="Normal"/>
    <w:next w:val="Normal"/>
    <w:qFormat/>
    <w:pPr>
      <w:spacing w:after="120" w:before="260"/>
      <w:outlineLvl w:val="1"/>
    </w:pPr>
    <w:rPr>
      <w:rFonts w:ascii="Calibri" w:cs="Calibri" w:eastAsia="Calibri" w:hAnsi="Calibri"/>
      <w:b/>
      <w:bCs/>
      <w:color w:val="0F7C80"/>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9fe9d897d82d1f6dc1ab65bfabaf6eb10d3b022d.png"/><Relationship Id="rId10" Type="http://schemas.openxmlformats.org/officeDocument/2006/relationships/image" Target="media/95ef7f291daacf01de95db0dcb7ab103f5bbfeb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Private Sigstore Platform — Executive Design Summary</dc:title>
  <dc:creator>Cloud Engineering Platform</dc:creator>
  <cp:lastModifiedBy>Un-named</cp:lastModifiedBy>
  <cp:revision>1</cp:revision>
  <dcterms:created xsi:type="dcterms:W3CDTF">2026-10-24T14:44:35.627Z</dcterms:created>
  <dcterms:modified xsi:type="dcterms:W3CDTF">2026-10-24T14:44:35.631Z</dcterms:modified>
</cp:coreProperties>
</file>

<file path=docProps/custom.xml><?xml version="1.0" encoding="utf-8"?>
<Properties xmlns="http://schemas.openxmlformats.org/officeDocument/2006/custom-properties" xmlns:vt="http://schemas.openxmlformats.org/officeDocument/2006/docPropsVTypes"/>
</file>