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02/10/2026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SWTID-2026-8585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center"/>
        <w:tblBorders>
          <w:top w:color="B7C9D5" w:space="0" w:sz="5" w:val="single"/>
          <w:left w:color="B7C9D5" w:space="0" w:sz="5" w:val="single"/>
          <w:bottom w:color="B7C9D5" w:space="0" w:sz="5" w:val="single"/>
          <w:right w:color="B7C9D5" w:space="0" w:sz="5" w:val="single"/>
          <w:insideH w:color="B7C9D5" w:space="0" w:sz="5" w:val="single"/>
          <w:insideV w:color="B7C9D5" w:space="0" w:sz="5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W w:type="dxa" w:w="648"/>
            <w:shd w:fill="D9EAF3"/>
          </w:tcPr>
          <w:p w:rsidR="00000000" w:rsidDel="00000000" w:rsidP="00000000" w:rsidRDefault="00000000" w:rsidRPr="00000000" w14:paraId="0000001D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S.No</w:t>
            </w:r>
          </w:p>
        </w:tc>
        <w:tc>
          <w:tcPr>
            <w:tcW w:type="dxa" w:w="1800"/>
            <w:shd w:fill="D9EAF3"/>
          </w:tcPr>
          <w:p w:rsidR="00000000" w:rsidDel="00000000" w:rsidP="00000000" w:rsidRDefault="00000000" w:rsidRPr="00000000" w14:paraId="0000001E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Component</w:t>
            </w:r>
          </w:p>
        </w:tc>
        <w:tc>
          <w:tcPr>
            <w:tcW w:type="dxa" w:w="4464"/>
            <w:shd w:fill="D9EAF3"/>
          </w:tcPr>
          <w:p w:rsidR="00000000" w:rsidDel="00000000" w:rsidP="00000000" w:rsidRDefault="00000000" w:rsidRPr="00000000" w14:paraId="0000001F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Description</w:t>
            </w:r>
          </w:p>
        </w:tc>
        <w:tc>
          <w:tcPr>
            <w:tcW w:type="dxa" w:w="3312"/>
            <w:shd w:fill="D9EAF3"/>
          </w:tcPr>
          <w:p w:rsidR="00000000" w:rsidDel="00000000" w:rsidP="00000000" w:rsidRDefault="00000000" w:rsidRPr="00000000" w14:paraId="00000020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User Interface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Authorized HR coordinator/admin uses the ServiceNow browser interface to load data, run transforms, view tables, and open reports/dashboard.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platform UI; browser; no separate custom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Application Logic-1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Load the source spreadsheet into the import-set staging table before transformation.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Load Data and Import Sets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Application Logic-2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Map Employee ID, Name, Email, Department, and Location to the target employee fields.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Transform Map and Field Maps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Application Logic-3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Match existing target rows using Employee ID; update matches and insert new IDs; review transform outcomes.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Coalesce on Employee ID and Transform History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Database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Store staged import rows and target employee records in ServiceNow-managed tables.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u_employee_import and u_employee_test; platform-managed persistence; database engine not specified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Cloud Database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separate database service is identified; persistence remains within the ServiceNow platform.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in scope; ServiceNow-managed data tables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File Storage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Source is an uploaded .xlsx workbook. No separate file-storage service is specified by the project.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workbook selected through Load Data; platform import handling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External API-1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external API is required for the described file-based import workflow.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in scope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External API-2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second external API is required for the described file-based import workflow.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in scope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Machine Learning Model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machine-learning model is used by the described workflow.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Not in scope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Infrastructure (Server / Cloud)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ServiceNow-hosted platform instance accessed by authorized users through a browser. Exact release, hosting region, and instance configuration are not supplied.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SaaS instance; deployment and hosting specifics to be confirmed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center"/>
        <w:tblBorders>
          <w:top w:color="B7C9D5" w:space="0" w:sz="5" w:val="single"/>
          <w:left w:color="B7C9D5" w:space="0" w:sz="5" w:val="single"/>
          <w:bottom w:color="B7C9D5" w:space="0" w:sz="5" w:val="single"/>
          <w:right w:color="B7C9D5" w:space="0" w:sz="5" w:val="single"/>
          <w:insideH w:color="B7C9D5" w:space="0" w:sz="5" w:val="single"/>
          <w:insideV w:color="B7C9D5" w:space="0" w:sz="5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W w:type="dxa" w:w="648"/>
            <w:shd w:fill="D9EAF3"/>
          </w:tcPr>
          <w:p w:rsidR="00000000" w:rsidDel="00000000" w:rsidP="00000000" w:rsidRDefault="00000000" w:rsidRPr="00000000" w14:paraId="00000052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S.No</w:t>
            </w:r>
          </w:p>
        </w:tc>
        <w:tc>
          <w:tcPr>
            <w:tcW w:type="dxa" w:w="1800"/>
            <w:shd w:fill="D9EAF3"/>
          </w:tcPr>
          <w:p w:rsidR="00000000" w:rsidDel="00000000" w:rsidP="00000000" w:rsidRDefault="00000000" w:rsidRPr="00000000" w14:paraId="00000053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Characteristics</w:t>
            </w:r>
          </w:p>
        </w:tc>
        <w:tc>
          <w:tcPr>
            <w:tcW w:type="dxa" w:w="4464"/>
            <w:shd w:fill="D9EAF3"/>
          </w:tcPr>
          <w:p w:rsidR="00000000" w:rsidDel="00000000" w:rsidP="00000000" w:rsidRDefault="00000000" w:rsidRPr="00000000" w14:paraId="00000054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Description</w:t>
            </w:r>
          </w:p>
        </w:tc>
        <w:tc>
          <w:tcPr>
            <w:tcW w:type="dxa" w:w="3312"/>
            <w:shd w:fill="D9EAF3"/>
          </w:tcPr>
          <w:p w:rsidR="00000000" w:rsidDel="00000000" w:rsidP="00000000" w:rsidRDefault="00000000" w:rsidRPr="00000000" w14:paraId="00000055">
            <w:pPr>
              <w:keepLines/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5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Open-Source Frameworks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new open-source framework is introduced; the project uses platform configuration and built-in import/report features.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Security Implementations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Limit access to import and employee records using configured roles and table/field ACLs; protect employee data and restrict dashboard sharing.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authentication, roles, ACLs; exact rules to be configured and verified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Scalable Architecture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Use staging and transform maps to process repeatable file imports; test against the expected file size and record count before production use.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Import Sets and Transform Maps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Availability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Depends on the availability and access configuration of the organization's ServiceNow instance; no separate availability component is specified.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ServiceNow instance; availability target to be confirmed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vAlign w:val="center"/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Performance</w:t>
            </w:r>
          </w:p>
        </w:tc>
        <w:tc>
          <w:tcPr>
            <w:vAlign w:val="center"/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Import processing time depends on file size, instance configuration, and data volume; measure a representative batch and set an agreed processing target.</w:t>
            </w:r>
          </w:p>
        </w:tc>
        <w:tc>
          <w:tcPr>
            <w:vAlign w:val="center"/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Import Set/Transform execution; no cache, CDN, or external service in scope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>
      <w:pPr>
        <w:pageBreakBefore/>
        <w:spacing w:before="0" w:after="120"/>
      </w:pPr>
      <w:r>
        <w:rPr>
          <w:rFonts w:ascii="Calibri" w:hAnsi="Calibri"/>
          <w:b/>
          <w:color w:val="000000"/>
          <w:sz w:val="30"/>
        </w:rPr>
        <w:t>Project Technical Architecture</w:t>
      </w:r>
    </w:p>
    <w:p>
      <w:pPr>
        <w:spacing w:before="40" w:after="100"/>
        <w:jc w:val="center"/>
      </w:pPr>
      <w:r>
        <w:drawing>
          <wp:inline>
            <wp:extent cx="6355080" cy="2859786"/>
            <wp:docPr id="15" name="Picture 15" descr="ServiceNow employee spreadsheet import architecture" title="ServiceNow employee spreadsheet import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5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 w:val="0"/>
          <w:color w:val="404040"/>
          <w:sz w:val="17"/>
        </w:rPr>
        <w:t>Data stays within the ServiceNow instance after upload: .xlsx -&gt; Load Data -&gt; u_employee_import -&gt; Transform Map/Employee ID coalesce -&gt; u_employee_test -&gt; Transform History and reports/dashboard. No external database, API, or ML service is in scope.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>
      <w:pPr>
        <w:spacing w:before="120" w:after="40"/>
      </w:pPr>
      <w:r>
        <w:rPr>
          <w:rFonts w:ascii="Calibri" w:hAnsi="Calibri"/>
          <w:b/>
          <w:color w:val="000000"/>
          <w:sz w:val="18"/>
        </w:rPr>
        <w:t>ServiceNow documentation used for this project:</w:t>
      </w:r>
    </w:p>
    <w:p>
      <w:pPr>
        <w:spacing w:after="20"/>
      </w:pPr>
      <w:r>
        <w:rPr>
          <w:rFonts w:ascii="Calibri" w:hAnsi="Calibri"/>
          <w:b w:val="0"/>
          <w:color w:val="0563C1"/>
          <w:sz w:val="16"/>
        </w:rPr>
        <w:t>Import sets key concepts - supported spreadsheet formats and transform-map concepts - https://www.servicenow.com/docs/r/xanadu/integrate-applications/system-import-sets/c_ImportSetsKeyConcepts.html</w:t>
      </w:r>
    </w:p>
    <w:p>
      <w:pPr>
        <w:spacing w:after="20"/>
      </w:pPr>
      <w:r>
        <w:rPr>
          <w:rFonts w:ascii="Calibri" w:hAnsi="Calibri"/>
          <w:b w:val="0"/>
          <w:color w:val="0563C1"/>
          <w:sz w:val="16"/>
        </w:rPr>
        <w:t>Create a field map - source/target mapping and coalesce behavior - https://www.servicenow.com/docs/r/integrate-applications/system-import-sets/t_CreatingAFieldMap.html</w:t>
      </w:r>
    </w:p>
    <w:p>
      <w:pPr>
        <w:spacing w:after="20"/>
      </w:pPr>
      <w:r>
        <w:rPr>
          <w:rFonts w:ascii="Calibri" w:hAnsi="Calibri"/>
          <w:b w:val="0"/>
          <w:color w:val="0563C1"/>
          <w:sz w:val="16"/>
        </w:rPr>
        <w:t>ACL types - table and field access controls - https://www.servicenow.com/docs/r/platform-security/access-control/acl-rule-types.html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