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IMPORT DATA USING TRANSFORM MAPS (SPREADSHEET) — TECHNICAL &amp; FUNCTIONAL SPECIFICATION</w:t>
      </w:r>
    </w:p>
    <w:p>
      <w:pPr>
        <w:jc w:val="center"/>
      </w:pPr>
      <w:r>
        <w:rPr>
          <w:rFonts w:ascii="Times New Roman" w:hAnsi="Times New Roman"/>
          <w:b/>
          <w:sz w:val="26"/>
        </w:rPr>
        <w:t>Project Documentation</w:t>
      </w:r>
    </w:p>
    <w:tbl>
      <w:tblPr>
        <w:tblStyle w:val="TableGrid"/>
        <w:tblW w:type="auto" w:w="0"/>
        <w:jc w:val="center"/>
        <w:tblLayout w:type="autofit"/>
        <w:tblLook w:firstColumn="1" w:firstRow="1" w:lastColumn="0" w:lastRow="0" w:noHBand="0" w:noVBand="1" w:val="04A0"/>
      </w:tblPr>
      <w:tblGrid>
        <w:gridCol w:w="4997"/>
        <w:gridCol w:w="4997"/>
      </w:tblGrid>
      <w:tr>
        <w:tc>
          <w:tcPr>
            <w:tcW w:type="dxa" w:w="4997"/>
            <w:vAlign w:val="center"/>
          </w:tcPr>
          <w:p>
            <w:pPr>
              <w:spacing w:after="40" w:before="40"/>
            </w:pPr>
            <w:r>
              <w:rPr>
                <w:rFonts w:ascii="Times New Roman" w:hAnsi="Times New Roman"/>
                <w:sz w:val="17"/>
              </w:rPr>
              <w:t>Project</w:t>
            </w:r>
          </w:p>
        </w:tc>
        <w:tc>
          <w:tcPr>
            <w:tcW w:type="dxa" w:w="4997"/>
            <w:vAlign w:val="center"/>
          </w:tcPr>
          <w:p>
            <w:pPr>
              <w:spacing w:after="40" w:before="40"/>
            </w:pPr>
            <w:r>
              <w:rPr>
                <w:rFonts w:ascii="Times New Roman" w:hAnsi="Times New Roman"/>
                <w:sz w:val="17"/>
              </w:rPr>
              <w:t>IMPORT DATA USING TRANSFORM MAPS (SPREADSHEET)</w:t>
            </w:r>
          </w:p>
        </w:tc>
      </w:tr>
      <w:tr>
        <w:tc>
          <w:tcPr>
            <w:tcW w:type="dxa" w:w="4997"/>
            <w:vAlign w:val="center"/>
          </w:tcPr>
          <w:p>
            <w:pPr>
              <w:spacing w:after="40" w:before="40"/>
            </w:pPr>
            <w:r>
              <w:rPr>
                <w:rFonts w:ascii="Times New Roman" w:hAnsi="Times New Roman"/>
                <w:sz w:val="17"/>
              </w:rPr>
              <w:t>Team ID</w:t>
            </w:r>
          </w:p>
        </w:tc>
        <w:tc>
          <w:tcPr>
            <w:tcW w:type="dxa" w:w="4997"/>
            <w:vAlign w:val="center"/>
          </w:tcPr>
          <w:p>
            <w:pPr>
              <w:spacing w:after="40" w:before="40"/>
            </w:pPr>
            <w:r>
              <w:rPr>
                <w:rFonts w:ascii="Times New Roman" w:hAnsi="Times New Roman"/>
                <w:sz w:val="17"/>
              </w:rPr>
              <w:t>SWTID-2026-8585</w:t>
            </w:r>
          </w:p>
        </w:tc>
      </w:tr>
      <w:tr>
        <w:tc>
          <w:tcPr>
            <w:tcW w:type="dxa" w:w="4997"/>
            <w:vAlign w:val="center"/>
          </w:tcPr>
          <w:p>
            <w:pPr>
              <w:spacing w:after="40" w:before="40"/>
            </w:pPr>
            <w:r>
              <w:rPr>
                <w:rFonts w:ascii="Times New Roman" w:hAnsi="Times New Roman"/>
                <w:sz w:val="17"/>
              </w:rPr>
              <w:t>Date</w:t>
            </w:r>
          </w:p>
        </w:tc>
        <w:tc>
          <w:tcPr>
            <w:tcW w:type="dxa" w:w="4997"/>
            <w:vAlign w:val="center"/>
          </w:tcPr>
          <w:p>
            <w:pPr>
              <w:spacing w:after="40" w:before="40"/>
            </w:pPr>
            <w:r>
              <w:rPr>
                <w:rFonts w:ascii="Times New Roman" w:hAnsi="Times New Roman"/>
                <w:sz w:val="17"/>
              </w:rPr>
              <w:t>02/10/2026</w:t>
            </w:r>
          </w:p>
        </w:tc>
      </w:tr>
      <w:tr>
        <w:tc>
          <w:tcPr>
            <w:tcW w:type="dxa" w:w="4997"/>
            <w:vAlign w:val="center"/>
          </w:tcPr>
          <w:p>
            <w:pPr>
              <w:spacing w:after="40" w:before="40"/>
            </w:pPr>
            <w:r>
              <w:rPr>
                <w:rFonts w:ascii="Times New Roman" w:hAnsi="Times New Roman"/>
                <w:sz w:val="17"/>
              </w:rPr>
              <w:t>Document status</w:t>
            </w:r>
          </w:p>
        </w:tc>
        <w:tc>
          <w:tcPr>
            <w:tcW w:type="dxa" w:w="4997"/>
            <w:vAlign w:val="center"/>
          </w:tcPr>
          <w:p>
            <w:pPr>
              <w:spacing w:after="40" w:before="40"/>
            </w:pPr>
            <w:r>
              <w:rPr>
                <w:rFonts w:ascii="Times New Roman" w:hAnsi="Times New Roman"/>
                <w:sz w:val="17"/>
              </w:rPr>
              <w:t>Documentation baseline; formal UAT not run</w:t>
            </w:r>
          </w:p>
        </w:tc>
      </w:tr>
    </w:tbl>
    <w:p/>
    <w:p>
      <w:pPr>
        <w:pStyle w:val="Heading1"/>
      </w:pPr>
      <w:r>
        <w:t>1. Introduction</w:t>
      </w:r>
    </w:p>
    <w:p>
      <w:r>
        <w:t>This specification documents a ServiceNow workflow that loads a structured Excel workbook into an import-set staging table, maps its employee fields, and transforms rows into a custom employee table. Employee ID is the intended match key so new IDs are inserted and matching IDs updated. The supplied generic FSD format has been adapted to the project actually demonstrated.</w:t>
      </w:r>
    </w:p>
    <w:p>
      <w:pPr>
        <w:pStyle w:val="Heading2"/>
      </w:pPr>
      <w:r>
        <w:t>1.1 Purpose and audience</w:t>
      </w:r>
    </w:p>
    <w:p>
      <w:r>
        <w:t>For the project team, ServiceNow administrator, HR data coordinator, tester, and reviewer. It records the configuration, operating steps, controls, evidence, and acceptance checks needed to understand and repeat the import.</w:t>
      </w:r>
    </w:p>
    <w:p>
      <w:pPr>
        <w:pStyle w:val="Heading1"/>
      </w:pPr>
      <w:r>
        <w:t>2. Project Overview and Scope</w:t>
      </w:r>
    </w:p>
    <w:p>
      <w:r>
        <w:t>The solution is a user-initiated, spreadsheet-based employee import within a ServiceNow instance. The implementation guide describes a sample employee dataset and built-in Import Sets, Transform Maps, reporting, and dashboards.</w:t>
      </w:r>
    </w:p>
    <w:p>
      <w:pPr>
        <w:pStyle w:val="Heading2"/>
      </w:pPr>
      <w:r>
        <w:t>2.1 In scope</w:t>
      </w:r>
    </w:p>
    <w:p>
      <w:pPr>
        <w:pStyle w:val="ListBullet"/>
      </w:pPr>
      <w:r>
        <w:t>Load an .xlsx file using worksheet 1 and header row 1 into u_employee_import.</w:t>
      </w:r>
    </w:p>
    <w:p>
      <w:pPr>
        <w:pStyle w:val="ListBullet"/>
      </w:pPr>
      <w:r>
        <w:t>Transform source fields into u_employee_test using explicit field maps.</w:t>
      </w:r>
    </w:p>
    <w:p>
      <w:pPr>
        <w:pStyle w:val="ListBullet"/>
      </w:pPr>
      <w:r>
        <w:t>Use Employee ID as coalesce key; insert a new ID and update an existing matching ID.</w:t>
      </w:r>
    </w:p>
    <w:p>
      <w:pPr>
        <w:pStyle w:val="ListBullet"/>
      </w:pPr>
      <w:r>
        <w:t>Review Transform History and target records.</w:t>
      </w:r>
    </w:p>
    <w:p>
      <w:pPr>
        <w:pStyle w:val="ListBullet"/>
      </w:pPr>
      <w:r>
        <w:t>Provide three reports: Department count pie chart, Location count bar chart, and five-column employee list; place the reports on a dashboard.</w:t>
      </w:r>
    </w:p>
    <w:p>
      <w:pPr>
        <w:pStyle w:val="Heading2"/>
      </w:pPr>
      <w:r>
        <w:t>2.2 Out of scope and assumptions</w:t>
      </w:r>
    </w:p>
    <w:p>
      <w:pPr>
        <w:pStyle w:val="ListBullet"/>
      </w:pPr>
      <w:r>
        <w:t>No custom web application, external database, API integration, machine-learning model, or scheduled ingestion is evidenced.</w:t>
      </w:r>
    </w:p>
    <w:p>
      <w:pPr>
        <w:pStyle w:val="ListBullet"/>
      </w:pPr>
      <w:r>
        <w:t>Source workbook has one employee per row and the five expected headers. Employee ID must be populated and unique in each batch and target data.</w:t>
      </w:r>
    </w:p>
    <w:p>
      <w:pPr>
        <w:pStyle w:val="ListBullet"/>
      </w:pPr>
      <w:r>
        <w:t>ServiceNow release, instance URL, hosting region, source workbook retention policy, named user accounts, numeric performance target, code repository, and deployment method were not supplied. Confirm before production deployment.</w:t>
      </w:r>
    </w:p>
    <w:p>
      <w:pPr>
        <w:pStyle w:val="Heading1"/>
      </w:pPr>
      <w:r>
        <w:t>3. Architecture</w:t>
      </w:r>
    </w:p>
    <w:p>
      <w:r>
        <w:t>The browser-based ServiceNow interface receives the spreadsheet. Import Sets stage source rows; a Transform Map and field maps write to the target custom table. Transform History supports operational review. Reports query target records and appear on the Employee Analytics dashboard.</w:t>
      </w:r>
    </w:p>
    <w:p>
      <w:pPr>
        <w:jc w:val="center"/>
      </w:pPr>
      <w:r>
        <w:drawing>
          <wp:inline xmlns:a="http://schemas.openxmlformats.org/drawingml/2006/main" xmlns:pic="http://schemas.openxmlformats.org/drawingml/2006/picture">
            <wp:extent cx="5486400" cy="2468880"/>
            <wp:docPr id="1" name="Picture 1"/>
            <wp:cNvGraphicFramePr>
              <a:graphicFrameLocks noChangeAspect="1"/>
            </wp:cNvGraphicFramePr>
            <a:graphic>
              <a:graphicData uri="http://schemas.openxmlformats.org/drawingml/2006/picture">
                <pic:pic>
                  <pic:nvPicPr>
                    <pic:cNvPr id="0" name="project_architecture.png"/>
                    <pic:cNvPicPr/>
                  </pic:nvPicPr>
                  <pic:blipFill>
                    <a:blip r:embed="rId9"/>
                    <a:stretch>
                      <a:fillRect/>
                    </a:stretch>
                  </pic:blipFill>
                  <pic:spPr>
                    <a:xfrm>
                      <a:off x="0" y="0"/>
                      <a:ext cx="5486400" cy="2468880"/>
                    </a:xfrm>
                    <a:prstGeom prst="rect"/>
                  </pic:spPr>
                </pic:pic>
              </a:graphicData>
            </a:graphic>
          </wp:inline>
        </w:drawing>
      </w:r>
    </w:p>
    <w:p>
      <w:pPr>
        <w:jc w:val="center"/>
      </w:pPr>
      <w:r>
        <w:rPr>
          <w:i/>
          <w:sz w:val="16"/>
        </w:rPr>
        <w:t>Figure 1. Project architecture and system boundaries.</w:t>
      </w:r>
    </w:p>
    <w:p>
      <w:pPr>
        <w:jc w:val="center"/>
      </w:pPr>
      <w:r>
        <w:drawing>
          <wp:inline xmlns:a="http://schemas.openxmlformats.org/drawingml/2006/main" xmlns:pic="http://schemas.openxmlformats.org/drawingml/2006/picture">
            <wp:extent cx="5486400" cy="2926080"/>
            <wp:docPr id="2" name="Picture 2"/>
            <wp:cNvGraphicFramePr>
              <a:graphicFrameLocks noChangeAspect="1"/>
            </wp:cNvGraphicFramePr>
            <a:graphic>
              <a:graphicData uri="http://schemas.openxmlformats.org/drawingml/2006/picture">
                <pic:pic>
                  <pic:nvPicPr>
                    <pic:cNvPr id="0" name="project_data_flow.png"/>
                    <pic:cNvPicPr/>
                  </pic:nvPicPr>
                  <pic:blipFill>
                    <a:blip r:embed="rId10"/>
                    <a:stretch>
                      <a:fillRect/>
                    </a:stretch>
                  </pic:blipFill>
                  <pic:spPr>
                    <a:xfrm>
                      <a:off x="0" y="0"/>
                      <a:ext cx="5486400" cy="2926080"/>
                    </a:xfrm>
                    <a:prstGeom prst="rect"/>
                  </pic:spPr>
                </pic:pic>
              </a:graphicData>
            </a:graphic>
          </wp:inline>
        </w:drawing>
      </w:r>
    </w:p>
    <w:p>
      <w:pPr>
        <w:jc w:val="center"/>
      </w:pPr>
      <w:r>
        <w:rPr>
          <w:i/>
          <w:sz w:val="16"/>
        </w:rPr>
        <w:t>Figure 2. Employee spreadsheet data flow through staging, transform, target, and review.</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shd w:fill="DCE6F1"/>
          </w:tcPr>
          <w:p>
            <w:pPr>
              <w:spacing w:after="40" w:before="40"/>
            </w:pPr>
            <w:r>
              <w:rPr>
                <w:rFonts w:ascii="Times New Roman" w:hAnsi="Times New Roman"/>
                <w:b/>
                <w:sz w:val="17"/>
              </w:rPr>
              <w:t>Component</w:t>
            </w:r>
          </w:p>
        </w:tc>
        <w:tc>
          <w:tcPr>
            <w:tcW w:type="dxa" w:w="4997"/>
            <w:vAlign w:val="center"/>
            <w:shd w:fill="DCE6F1"/>
          </w:tcPr>
          <w:p>
            <w:pPr>
              <w:spacing w:after="40" w:before="40"/>
            </w:pPr>
            <w:r>
              <w:rPr>
                <w:rFonts w:ascii="Times New Roman" w:hAnsi="Times New Roman"/>
                <w:b/>
                <w:sz w:val="17"/>
              </w:rPr>
              <w:t>Project configuration / responsibility</w:t>
            </w:r>
          </w:p>
        </w:tc>
      </w:tr>
      <w:tr>
        <w:tc>
          <w:tcPr>
            <w:tcW w:type="dxa" w:w="4997"/>
            <w:vAlign w:val="center"/>
          </w:tcPr>
          <w:p>
            <w:pPr>
              <w:spacing w:after="40" w:before="40"/>
            </w:pPr>
            <w:r>
              <w:rPr>
                <w:rFonts w:ascii="Times New Roman" w:hAnsi="Times New Roman"/>
                <w:sz w:val="17"/>
              </w:rPr>
              <w:t>User interface</w:t>
            </w:r>
          </w:p>
        </w:tc>
        <w:tc>
          <w:tcPr>
            <w:tcW w:type="dxa" w:w="4997"/>
            <w:vAlign w:val="center"/>
          </w:tcPr>
          <w:p>
            <w:pPr>
              <w:spacing w:after="40" w:before="40"/>
            </w:pPr>
            <w:r>
              <w:rPr>
                <w:rFonts w:ascii="Times New Roman" w:hAnsi="Times New Roman"/>
                <w:sz w:val="17"/>
              </w:rPr>
              <w:t>Authorized coordinator or administrator uses ServiceNow Load Data, transform, tables, reports, and dashboard.</w:t>
            </w:r>
          </w:p>
        </w:tc>
      </w:tr>
      <w:tr>
        <w:tc>
          <w:tcPr>
            <w:tcW w:type="dxa" w:w="4997"/>
            <w:vAlign w:val="center"/>
          </w:tcPr>
          <w:p>
            <w:pPr>
              <w:spacing w:after="40" w:before="40"/>
            </w:pPr>
            <w:r>
              <w:rPr>
                <w:rFonts w:ascii="Times New Roman" w:hAnsi="Times New Roman"/>
                <w:sz w:val="17"/>
              </w:rPr>
              <w:t>Staging</w:t>
            </w:r>
          </w:p>
        </w:tc>
        <w:tc>
          <w:tcPr>
            <w:tcW w:type="dxa" w:w="4997"/>
            <w:vAlign w:val="center"/>
          </w:tcPr>
          <w:p>
            <w:pPr>
              <w:spacing w:after="40" w:before="40"/>
            </w:pPr>
            <w:r>
              <w:rPr>
                <w:rFonts w:ascii="Times New Roman" w:hAnsi="Times New Roman"/>
                <w:sz w:val="17"/>
              </w:rPr>
              <w:t>Employee Import, technical name u_employee_import; temporary/import-set rows.</w:t>
            </w:r>
          </w:p>
        </w:tc>
      </w:tr>
      <w:tr>
        <w:tc>
          <w:tcPr>
            <w:tcW w:type="dxa" w:w="4997"/>
            <w:vAlign w:val="center"/>
          </w:tcPr>
          <w:p>
            <w:pPr>
              <w:spacing w:after="40" w:before="40"/>
            </w:pPr>
            <w:r>
              <w:rPr>
                <w:rFonts w:ascii="Times New Roman" w:hAnsi="Times New Roman"/>
                <w:sz w:val="17"/>
              </w:rPr>
              <w:t>Transformation</w:t>
            </w:r>
          </w:p>
        </w:tc>
        <w:tc>
          <w:tcPr>
            <w:tcW w:type="dxa" w:w="4997"/>
            <w:vAlign w:val="center"/>
          </w:tcPr>
          <w:p>
            <w:pPr>
              <w:spacing w:after="40" w:before="40"/>
            </w:pPr>
            <w:r>
              <w:rPr>
                <w:rFonts w:ascii="Times New Roman" w:hAnsi="Times New Roman"/>
                <w:sz w:val="17"/>
              </w:rPr>
              <w:t>Sample Spreadsheet Import Transform Map maps source columns to target fields.</w:t>
            </w:r>
          </w:p>
        </w:tc>
      </w:tr>
      <w:tr>
        <w:tc>
          <w:tcPr>
            <w:tcW w:type="dxa" w:w="4997"/>
            <w:vAlign w:val="center"/>
          </w:tcPr>
          <w:p>
            <w:pPr>
              <w:spacing w:after="40" w:before="40"/>
            </w:pPr>
            <w:r>
              <w:rPr>
                <w:rFonts w:ascii="Times New Roman" w:hAnsi="Times New Roman"/>
                <w:sz w:val="17"/>
              </w:rPr>
              <w:t>Target</w:t>
            </w:r>
          </w:p>
        </w:tc>
        <w:tc>
          <w:tcPr>
            <w:tcW w:type="dxa" w:w="4997"/>
            <w:vAlign w:val="center"/>
          </w:tcPr>
          <w:p>
            <w:pPr>
              <w:spacing w:after="40" w:before="40"/>
            </w:pPr>
            <w:r>
              <w:rPr>
                <w:rFonts w:ascii="Times New Roman" w:hAnsi="Times New Roman"/>
                <w:sz w:val="17"/>
              </w:rPr>
              <w:t>Employee Test, technical name u_employee_test; five string fields.</w:t>
            </w:r>
          </w:p>
        </w:tc>
      </w:tr>
      <w:tr>
        <w:tc>
          <w:tcPr>
            <w:tcW w:type="dxa" w:w="4997"/>
            <w:vAlign w:val="center"/>
          </w:tcPr>
          <w:p>
            <w:pPr>
              <w:spacing w:after="40" w:before="40"/>
            </w:pPr>
            <w:r>
              <w:rPr>
                <w:rFonts w:ascii="Times New Roman" w:hAnsi="Times New Roman"/>
                <w:sz w:val="17"/>
              </w:rPr>
              <w:t>Match behavior</w:t>
            </w:r>
          </w:p>
        </w:tc>
        <w:tc>
          <w:tcPr>
            <w:tcW w:type="dxa" w:w="4997"/>
            <w:vAlign w:val="center"/>
          </w:tcPr>
          <w:p>
            <w:pPr>
              <w:spacing w:after="40" w:before="40"/>
            </w:pPr>
            <w:r>
              <w:rPr>
                <w:rFonts w:ascii="Times New Roman" w:hAnsi="Times New Roman"/>
                <w:sz w:val="17"/>
              </w:rPr>
              <w:t>Employee ID is the coalesce field; a match updates, no match inserts.</w:t>
            </w:r>
          </w:p>
        </w:tc>
      </w:tr>
      <w:tr>
        <w:tc>
          <w:tcPr>
            <w:tcW w:type="dxa" w:w="4997"/>
            <w:vAlign w:val="center"/>
          </w:tcPr>
          <w:p>
            <w:pPr>
              <w:spacing w:after="40" w:before="40"/>
            </w:pPr>
            <w:r>
              <w:rPr>
                <w:rFonts w:ascii="Times New Roman" w:hAnsi="Times New Roman"/>
                <w:sz w:val="17"/>
              </w:rPr>
              <w:t>Verification</w:t>
            </w:r>
          </w:p>
        </w:tc>
        <w:tc>
          <w:tcPr>
            <w:tcW w:type="dxa" w:w="4997"/>
            <w:vAlign w:val="center"/>
          </w:tcPr>
          <w:p>
            <w:pPr>
              <w:spacing w:after="40" w:before="40"/>
            </w:pPr>
            <w:r>
              <w:rPr>
                <w:rFonts w:ascii="Times New Roman" w:hAnsi="Times New Roman"/>
                <w:sz w:val="17"/>
              </w:rPr>
              <w:t>Transform History, Employee Test list, aggregate reports and dashboard.</w:t>
            </w:r>
          </w:p>
        </w:tc>
      </w:tr>
    </w:tbl>
    <w:p>
      <w:pPr>
        <w:pStyle w:val="Heading1"/>
      </w:pPr>
      <w:r>
        <w:t>4. Data Model and Field Mapping</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shd w:fill="DCE6F1"/>
          </w:tcPr>
          <w:p>
            <w:pPr>
              <w:spacing w:after="40" w:before="40"/>
            </w:pPr>
            <w:r>
              <w:rPr>
                <w:rFonts w:ascii="Times New Roman" w:hAnsi="Times New Roman"/>
                <w:b/>
                <w:sz w:val="17"/>
              </w:rPr>
              <w:t>Source column</w:t>
            </w:r>
          </w:p>
        </w:tc>
        <w:tc>
          <w:tcPr>
            <w:tcW w:type="dxa" w:w="2498"/>
            <w:vAlign w:val="center"/>
            <w:shd w:fill="DCE6F1"/>
          </w:tcPr>
          <w:p>
            <w:pPr>
              <w:spacing w:after="40" w:before="40"/>
            </w:pPr>
            <w:r>
              <w:rPr>
                <w:rFonts w:ascii="Times New Roman" w:hAnsi="Times New Roman"/>
                <w:b/>
                <w:sz w:val="17"/>
              </w:rPr>
              <w:t>Target field</w:t>
            </w:r>
          </w:p>
        </w:tc>
        <w:tc>
          <w:tcPr>
            <w:tcW w:type="dxa" w:w="2498"/>
            <w:vAlign w:val="center"/>
            <w:shd w:fill="DCE6F1"/>
          </w:tcPr>
          <w:p>
            <w:pPr>
              <w:spacing w:after="40" w:before="40"/>
            </w:pPr>
            <w:r>
              <w:rPr>
                <w:rFonts w:ascii="Times New Roman" w:hAnsi="Times New Roman"/>
                <w:b/>
                <w:sz w:val="17"/>
              </w:rPr>
              <w:t>Type</w:t>
            </w:r>
          </w:p>
        </w:tc>
        <w:tc>
          <w:tcPr>
            <w:tcW w:type="dxa" w:w="2498"/>
            <w:vAlign w:val="center"/>
            <w:shd w:fill="DCE6F1"/>
          </w:tcPr>
          <w:p>
            <w:pPr>
              <w:spacing w:after="40" w:before="40"/>
            </w:pPr>
            <w:r>
              <w:rPr>
                <w:rFonts w:ascii="Times New Roman" w:hAnsi="Times New Roman"/>
                <w:b/>
                <w:sz w:val="17"/>
              </w:rPr>
              <w:t>Rule</w:t>
            </w:r>
          </w:p>
        </w:tc>
      </w:tr>
      <w:tr>
        <w:tc>
          <w:tcPr>
            <w:tcW w:type="dxa" w:w="2498"/>
            <w:vAlign w:val="center"/>
          </w:tcPr>
          <w:p>
            <w:pPr>
              <w:spacing w:after="40" w:before="40"/>
            </w:pPr>
            <w:r>
              <w:rPr>
                <w:rFonts w:ascii="Times New Roman" w:hAnsi="Times New Roman"/>
                <w:sz w:val="17"/>
              </w:rPr>
              <w:t>Employee ID</w:t>
            </w:r>
          </w:p>
        </w:tc>
        <w:tc>
          <w:tcPr>
            <w:tcW w:type="dxa" w:w="2498"/>
            <w:vAlign w:val="center"/>
          </w:tcPr>
          <w:p>
            <w:pPr>
              <w:spacing w:after="40" w:before="40"/>
            </w:pPr>
            <w:r>
              <w:rPr>
                <w:rFonts w:ascii="Times New Roman" w:hAnsi="Times New Roman"/>
                <w:sz w:val="17"/>
              </w:rPr>
              <w:t>Employee ID</w:t>
            </w:r>
          </w:p>
        </w:tc>
        <w:tc>
          <w:tcPr>
            <w:tcW w:type="dxa" w:w="2498"/>
            <w:vAlign w:val="center"/>
          </w:tcPr>
          <w:p>
            <w:pPr>
              <w:spacing w:after="40" w:before="40"/>
            </w:pPr>
            <w:r>
              <w:rPr>
                <w:rFonts w:ascii="Times New Roman" w:hAnsi="Times New Roman"/>
                <w:sz w:val="17"/>
              </w:rPr>
              <w:t>String</w:t>
            </w:r>
          </w:p>
        </w:tc>
        <w:tc>
          <w:tcPr>
            <w:tcW w:type="dxa" w:w="2498"/>
            <w:vAlign w:val="center"/>
          </w:tcPr>
          <w:p>
            <w:pPr>
              <w:spacing w:after="40" w:before="40"/>
            </w:pPr>
            <w:r>
              <w:rPr>
                <w:rFonts w:ascii="Times New Roman" w:hAnsi="Times New Roman"/>
                <w:sz w:val="17"/>
              </w:rPr>
              <w:t>Required operationally; coalesce key; unique in target.</w:t>
            </w:r>
          </w:p>
        </w:tc>
      </w:tr>
      <w:tr>
        <w:tc>
          <w:tcPr>
            <w:tcW w:type="dxa" w:w="2498"/>
            <w:vAlign w:val="center"/>
          </w:tcPr>
          <w:p>
            <w:pPr>
              <w:spacing w:after="40" w:before="40"/>
            </w:pPr>
            <w:r>
              <w:rPr>
                <w:rFonts w:ascii="Times New Roman" w:hAnsi="Times New Roman"/>
                <w:sz w:val="17"/>
              </w:rPr>
              <w:t>Name</w:t>
            </w:r>
          </w:p>
        </w:tc>
        <w:tc>
          <w:tcPr>
            <w:tcW w:type="dxa" w:w="2498"/>
            <w:vAlign w:val="center"/>
          </w:tcPr>
          <w:p>
            <w:pPr>
              <w:spacing w:after="40" w:before="40"/>
            </w:pPr>
            <w:r>
              <w:rPr>
                <w:rFonts w:ascii="Times New Roman" w:hAnsi="Times New Roman"/>
                <w:sz w:val="17"/>
              </w:rPr>
              <w:t>Employee Name</w:t>
            </w:r>
          </w:p>
        </w:tc>
        <w:tc>
          <w:tcPr>
            <w:tcW w:type="dxa" w:w="2498"/>
            <w:vAlign w:val="center"/>
          </w:tcPr>
          <w:p>
            <w:pPr>
              <w:spacing w:after="40" w:before="40"/>
            </w:pPr>
            <w:r>
              <w:rPr>
                <w:rFonts w:ascii="Times New Roman" w:hAnsi="Times New Roman"/>
                <w:sz w:val="17"/>
              </w:rPr>
              <w:t>String</w:t>
            </w:r>
          </w:p>
        </w:tc>
        <w:tc>
          <w:tcPr>
            <w:tcW w:type="dxa" w:w="2498"/>
            <w:vAlign w:val="center"/>
          </w:tcPr>
          <w:p>
            <w:pPr>
              <w:spacing w:after="40" w:before="40"/>
            </w:pPr>
            <w:r>
              <w:rPr>
                <w:rFonts w:ascii="Times New Roman" w:hAnsi="Times New Roman"/>
                <w:sz w:val="17"/>
              </w:rPr>
              <w:t>Explicit mapping; source and target labels differ.</w:t>
            </w:r>
          </w:p>
        </w:tc>
      </w:tr>
      <w:tr>
        <w:tc>
          <w:tcPr>
            <w:tcW w:type="dxa" w:w="2498"/>
            <w:vAlign w:val="center"/>
          </w:tcPr>
          <w:p>
            <w:pPr>
              <w:spacing w:after="40" w:before="40"/>
            </w:pPr>
            <w:r>
              <w:rPr>
                <w:rFonts w:ascii="Times New Roman" w:hAnsi="Times New Roman"/>
                <w:sz w:val="17"/>
              </w:rPr>
              <w:t>Email</w:t>
            </w:r>
          </w:p>
        </w:tc>
        <w:tc>
          <w:tcPr>
            <w:tcW w:type="dxa" w:w="2498"/>
            <w:vAlign w:val="center"/>
          </w:tcPr>
          <w:p>
            <w:pPr>
              <w:spacing w:after="40" w:before="40"/>
            </w:pPr>
            <w:r>
              <w:rPr>
                <w:rFonts w:ascii="Times New Roman" w:hAnsi="Times New Roman"/>
                <w:sz w:val="17"/>
              </w:rPr>
              <w:t>Email</w:t>
            </w:r>
          </w:p>
        </w:tc>
        <w:tc>
          <w:tcPr>
            <w:tcW w:type="dxa" w:w="2498"/>
            <w:vAlign w:val="center"/>
          </w:tcPr>
          <w:p>
            <w:pPr>
              <w:spacing w:after="40" w:before="40"/>
            </w:pPr>
            <w:r>
              <w:rPr>
                <w:rFonts w:ascii="Times New Roman" w:hAnsi="Times New Roman"/>
                <w:sz w:val="17"/>
              </w:rPr>
              <w:t>String</w:t>
            </w:r>
          </w:p>
        </w:tc>
        <w:tc>
          <w:tcPr>
            <w:tcW w:type="dxa" w:w="2498"/>
            <w:vAlign w:val="center"/>
          </w:tcPr>
          <w:p>
            <w:pPr>
              <w:spacing w:after="40" w:before="40"/>
            </w:pPr>
            <w:r>
              <w:rPr>
                <w:rFonts w:ascii="Times New Roman" w:hAnsi="Times New Roman"/>
                <w:sz w:val="17"/>
              </w:rPr>
              <w:t>Direct field map.</w:t>
            </w:r>
          </w:p>
        </w:tc>
      </w:tr>
      <w:tr>
        <w:tc>
          <w:tcPr>
            <w:tcW w:type="dxa" w:w="2498"/>
            <w:vAlign w:val="center"/>
          </w:tcPr>
          <w:p>
            <w:pPr>
              <w:spacing w:after="40" w:before="40"/>
            </w:pPr>
            <w:r>
              <w:rPr>
                <w:rFonts w:ascii="Times New Roman" w:hAnsi="Times New Roman"/>
                <w:sz w:val="17"/>
              </w:rPr>
              <w:t>Department</w:t>
            </w:r>
          </w:p>
        </w:tc>
        <w:tc>
          <w:tcPr>
            <w:tcW w:type="dxa" w:w="2498"/>
            <w:vAlign w:val="center"/>
          </w:tcPr>
          <w:p>
            <w:pPr>
              <w:spacing w:after="40" w:before="40"/>
            </w:pPr>
            <w:r>
              <w:rPr>
                <w:rFonts w:ascii="Times New Roman" w:hAnsi="Times New Roman"/>
                <w:sz w:val="17"/>
              </w:rPr>
              <w:t>Department</w:t>
            </w:r>
          </w:p>
        </w:tc>
        <w:tc>
          <w:tcPr>
            <w:tcW w:type="dxa" w:w="2498"/>
            <w:vAlign w:val="center"/>
          </w:tcPr>
          <w:p>
            <w:pPr>
              <w:spacing w:after="40" w:before="40"/>
            </w:pPr>
            <w:r>
              <w:rPr>
                <w:rFonts w:ascii="Times New Roman" w:hAnsi="Times New Roman"/>
                <w:sz w:val="17"/>
              </w:rPr>
              <w:t>String</w:t>
            </w:r>
          </w:p>
        </w:tc>
        <w:tc>
          <w:tcPr>
            <w:tcW w:type="dxa" w:w="2498"/>
            <w:vAlign w:val="center"/>
          </w:tcPr>
          <w:p>
            <w:pPr>
              <w:spacing w:after="40" w:before="40"/>
            </w:pPr>
            <w:r>
              <w:rPr>
                <w:rFonts w:ascii="Times New Roman" w:hAnsi="Times New Roman"/>
                <w:sz w:val="17"/>
              </w:rPr>
              <w:t>Direct field map.</w:t>
            </w:r>
          </w:p>
        </w:tc>
      </w:tr>
      <w:tr>
        <w:tc>
          <w:tcPr>
            <w:tcW w:type="dxa" w:w="2498"/>
            <w:vAlign w:val="center"/>
          </w:tcPr>
          <w:p>
            <w:pPr>
              <w:spacing w:after="40" w:before="40"/>
            </w:pPr>
            <w:r>
              <w:rPr>
                <w:rFonts w:ascii="Times New Roman" w:hAnsi="Times New Roman"/>
                <w:sz w:val="17"/>
              </w:rPr>
              <w:t>Location</w:t>
            </w:r>
          </w:p>
        </w:tc>
        <w:tc>
          <w:tcPr>
            <w:tcW w:type="dxa" w:w="2498"/>
            <w:vAlign w:val="center"/>
          </w:tcPr>
          <w:p>
            <w:pPr>
              <w:spacing w:after="40" w:before="40"/>
            </w:pPr>
            <w:r>
              <w:rPr>
                <w:rFonts w:ascii="Times New Roman" w:hAnsi="Times New Roman"/>
                <w:sz w:val="17"/>
              </w:rPr>
              <w:t>Location</w:t>
            </w:r>
          </w:p>
        </w:tc>
        <w:tc>
          <w:tcPr>
            <w:tcW w:type="dxa" w:w="2498"/>
            <w:vAlign w:val="center"/>
          </w:tcPr>
          <w:p>
            <w:pPr>
              <w:spacing w:after="40" w:before="40"/>
            </w:pPr>
            <w:r>
              <w:rPr>
                <w:rFonts w:ascii="Times New Roman" w:hAnsi="Times New Roman"/>
                <w:sz w:val="17"/>
              </w:rPr>
              <w:t>String</w:t>
            </w:r>
          </w:p>
        </w:tc>
        <w:tc>
          <w:tcPr>
            <w:tcW w:type="dxa" w:w="2498"/>
            <w:vAlign w:val="center"/>
          </w:tcPr>
          <w:p>
            <w:pPr>
              <w:spacing w:after="40" w:before="40"/>
            </w:pPr>
            <w:r>
              <w:rPr>
                <w:rFonts w:ascii="Times New Roman" w:hAnsi="Times New Roman"/>
                <w:sz w:val="17"/>
              </w:rPr>
              <w:t>Direct field map.</w:t>
            </w:r>
          </w:p>
        </w:tc>
      </w:tr>
    </w:tbl>
    <w:p>
      <w:r>
        <w:t>The implementation guide indicates Auto Map Matching Fields followed by Mapping Assist. The saved map must be checked to ensure all five pairs above exist and Employee ID coalesce is enabled. Duplicate or blank identifiers can make matching ambiguous and must be corrected before production use.</w:t>
      </w:r>
    </w:p>
    <w:p>
      <w:pPr>
        <w:pStyle w:val="Heading1"/>
      </w:pPr>
      <w:r>
        <w:t>5. Functional Requirements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DCE6F1"/>
          </w:tcPr>
          <w:p>
            <w:pPr>
              <w:spacing w:after="40" w:before="40"/>
            </w:pPr>
            <w:r>
              <w:rPr>
                <w:rFonts w:ascii="Times New Roman" w:hAnsi="Times New Roman"/>
                <w:b/>
                <w:sz w:val="17"/>
              </w:rPr>
              <w:t>ID</w:t>
            </w:r>
          </w:p>
        </w:tc>
        <w:tc>
          <w:tcPr>
            <w:tcW w:type="dxa" w:w="3331"/>
            <w:vAlign w:val="center"/>
            <w:shd w:fill="DCE6F1"/>
          </w:tcPr>
          <w:p>
            <w:pPr>
              <w:spacing w:after="40" w:before="40"/>
            </w:pPr>
            <w:r>
              <w:rPr>
                <w:rFonts w:ascii="Times New Roman" w:hAnsi="Times New Roman"/>
                <w:b/>
                <w:sz w:val="17"/>
              </w:rPr>
              <w:t>Requirement</w:t>
            </w:r>
          </w:p>
        </w:tc>
        <w:tc>
          <w:tcPr>
            <w:tcW w:type="dxa" w:w="3331"/>
            <w:vAlign w:val="center"/>
            <w:shd w:fill="DCE6F1"/>
          </w:tcPr>
          <w:p>
            <w:pPr>
              <w:spacing w:after="40" w:before="40"/>
            </w:pPr>
            <w:r>
              <w:rPr>
                <w:rFonts w:ascii="Times New Roman" w:hAnsi="Times New Roman"/>
                <w:b/>
                <w:sz w:val="17"/>
              </w:rPr>
              <w:t>Acceptance evidence</w:t>
            </w:r>
          </w:p>
        </w:tc>
      </w:tr>
      <w:tr>
        <w:tc>
          <w:tcPr>
            <w:tcW w:type="dxa" w:w="3331"/>
            <w:vAlign w:val="center"/>
          </w:tcPr>
          <w:p>
            <w:pPr>
              <w:spacing w:after="40" w:before="40"/>
            </w:pPr>
            <w:r>
              <w:rPr>
                <w:rFonts w:ascii="Times New Roman" w:hAnsi="Times New Roman"/>
                <w:sz w:val="17"/>
              </w:rPr>
              <w:t>FR-1</w:t>
            </w:r>
          </w:p>
        </w:tc>
        <w:tc>
          <w:tcPr>
            <w:tcW w:type="dxa" w:w="3331"/>
            <w:vAlign w:val="center"/>
          </w:tcPr>
          <w:p>
            <w:pPr>
              <w:spacing w:after="40" w:before="40"/>
            </w:pPr>
            <w:r>
              <w:rPr>
                <w:rFonts w:ascii="Times New Roman" w:hAnsi="Times New Roman"/>
                <w:sz w:val="17"/>
              </w:rPr>
              <w:t>Create u_employee_test with Employee ID, Employee Name, Email, Department, and Location.</w:t>
            </w:r>
          </w:p>
        </w:tc>
        <w:tc>
          <w:tcPr>
            <w:tcW w:type="dxa" w:w="3331"/>
            <w:vAlign w:val="center"/>
          </w:tcPr>
          <w:p>
            <w:pPr>
              <w:spacing w:after="40" w:before="40"/>
            </w:pPr>
            <w:r>
              <w:rPr>
                <w:rFonts w:ascii="Times New Roman" w:hAnsi="Times New Roman"/>
                <w:sz w:val="17"/>
              </w:rPr>
              <w:t>Fields visible on target form/list.</w:t>
            </w:r>
          </w:p>
        </w:tc>
      </w:tr>
      <w:tr>
        <w:tc>
          <w:tcPr>
            <w:tcW w:type="dxa" w:w="3331"/>
            <w:vAlign w:val="center"/>
          </w:tcPr>
          <w:p>
            <w:pPr>
              <w:spacing w:after="40" w:before="40"/>
            </w:pPr>
            <w:r>
              <w:rPr>
                <w:rFonts w:ascii="Times New Roman" w:hAnsi="Times New Roman"/>
                <w:sz w:val="17"/>
              </w:rPr>
              <w:t>FR-2</w:t>
            </w:r>
          </w:p>
        </w:tc>
        <w:tc>
          <w:tcPr>
            <w:tcW w:type="dxa" w:w="3331"/>
            <w:vAlign w:val="center"/>
          </w:tcPr>
          <w:p>
            <w:pPr>
              <w:spacing w:after="40" w:before="40"/>
            </w:pPr>
            <w:r>
              <w:rPr>
                <w:rFonts w:ascii="Times New Roman" w:hAnsi="Times New Roman"/>
                <w:sz w:val="17"/>
              </w:rPr>
              <w:t>Load .xlsx rows into u_employee_import using worksheet/header selection.</w:t>
            </w:r>
          </w:p>
        </w:tc>
        <w:tc>
          <w:tcPr>
            <w:tcW w:type="dxa" w:w="3331"/>
            <w:vAlign w:val="center"/>
          </w:tcPr>
          <w:p>
            <w:pPr>
              <w:spacing w:after="40" w:before="40"/>
            </w:pPr>
            <w:r>
              <w:rPr>
                <w:rFonts w:ascii="Times New Roman" w:hAnsi="Times New Roman"/>
                <w:sz w:val="17"/>
              </w:rPr>
              <w:t>Completed import set and staged row count.</w:t>
            </w:r>
          </w:p>
        </w:tc>
      </w:tr>
      <w:tr>
        <w:tc>
          <w:tcPr>
            <w:tcW w:type="dxa" w:w="3331"/>
            <w:vAlign w:val="center"/>
          </w:tcPr>
          <w:p>
            <w:pPr>
              <w:spacing w:after="40" w:before="40"/>
            </w:pPr>
            <w:r>
              <w:rPr>
                <w:rFonts w:ascii="Times New Roman" w:hAnsi="Times New Roman"/>
                <w:sz w:val="17"/>
              </w:rPr>
              <w:t>FR-3</w:t>
            </w:r>
          </w:p>
        </w:tc>
        <w:tc>
          <w:tcPr>
            <w:tcW w:type="dxa" w:w="3331"/>
            <w:vAlign w:val="center"/>
          </w:tcPr>
          <w:p>
            <w:pPr>
              <w:spacing w:after="40" w:before="40"/>
            </w:pPr>
            <w:r>
              <w:rPr>
                <w:rFonts w:ascii="Times New Roman" w:hAnsi="Times New Roman"/>
                <w:sz w:val="17"/>
              </w:rPr>
              <w:t>Map five source fields, including Name  to  Employee Name.</w:t>
            </w:r>
          </w:p>
        </w:tc>
        <w:tc>
          <w:tcPr>
            <w:tcW w:type="dxa" w:w="3331"/>
            <w:vAlign w:val="center"/>
          </w:tcPr>
          <w:p>
            <w:pPr>
              <w:spacing w:after="40" w:before="40"/>
            </w:pPr>
            <w:r>
              <w:rPr>
                <w:rFonts w:ascii="Times New Roman" w:hAnsi="Times New Roman"/>
                <w:sz w:val="17"/>
              </w:rPr>
              <w:t>Saved source-to-target field map.</w:t>
            </w:r>
          </w:p>
        </w:tc>
      </w:tr>
      <w:tr>
        <w:tc>
          <w:tcPr>
            <w:tcW w:type="dxa" w:w="3331"/>
            <w:vAlign w:val="center"/>
          </w:tcPr>
          <w:p>
            <w:pPr>
              <w:spacing w:after="40" w:before="40"/>
            </w:pPr>
            <w:r>
              <w:rPr>
                <w:rFonts w:ascii="Times New Roman" w:hAnsi="Times New Roman"/>
                <w:sz w:val="17"/>
              </w:rPr>
              <w:t>FR-4</w:t>
            </w:r>
          </w:p>
        </w:tc>
        <w:tc>
          <w:tcPr>
            <w:tcW w:type="dxa" w:w="3331"/>
            <w:vAlign w:val="center"/>
          </w:tcPr>
          <w:p>
            <w:pPr>
              <w:spacing w:after="40" w:before="40"/>
            </w:pPr>
            <w:r>
              <w:rPr>
                <w:rFonts w:ascii="Times New Roman" w:hAnsi="Times New Roman"/>
                <w:sz w:val="17"/>
              </w:rPr>
              <w:t>Coalesce on Employee ID; insert new IDs and update matches.</w:t>
            </w:r>
          </w:p>
        </w:tc>
        <w:tc>
          <w:tcPr>
            <w:tcW w:type="dxa" w:w="3331"/>
            <w:vAlign w:val="center"/>
          </w:tcPr>
          <w:p>
            <w:pPr>
              <w:spacing w:after="40" w:before="40"/>
            </w:pPr>
            <w:r>
              <w:rPr>
                <w:rFonts w:ascii="Times New Roman" w:hAnsi="Times New Roman"/>
                <w:sz w:val="17"/>
              </w:rPr>
              <w:t>Controlled insert/update test with no duplicate target key.</w:t>
            </w:r>
          </w:p>
        </w:tc>
      </w:tr>
      <w:tr>
        <w:tc>
          <w:tcPr>
            <w:tcW w:type="dxa" w:w="3331"/>
            <w:vAlign w:val="center"/>
          </w:tcPr>
          <w:p>
            <w:pPr>
              <w:spacing w:after="40" w:before="40"/>
            </w:pPr>
            <w:r>
              <w:rPr>
                <w:rFonts w:ascii="Times New Roman" w:hAnsi="Times New Roman"/>
                <w:sz w:val="17"/>
              </w:rPr>
              <w:t>FR-5</w:t>
            </w:r>
          </w:p>
        </w:tc>
        <w:tc>
          <w:tcPr>
            <w:tcW w:type="dxa" w:w="3331"/>
            <w:vAlign w:val="center"/>
          </w:tcPr>
          <w:p>
            <w:pPr>
              <w:spacing w:after="40" w:before="40"/>
            </w:pPr>
            <w:r>
              <w:rPr>
                <w:rFonts w:ascii="Times New Roman" w:hAnsi="Times New Roman"/>
                <w:sz w:val="17"/>
              </w:rPr>
              <w:t>Run transformation and verify records and outcomes.</w:t>
            </w:r>
          </w:p>
        </w:tc>
        <w:tc>
          <w:tcPr>
            <w:tcW w:type="dxa" w:w="3331"/>
            <w:vAlign w:val="center"/>
          </w:tcPr>
          <w:p>
            <w:pPr>
              <w:spacing w:after="40" w:before="40"/>
            </w:pPr>
            <w:r>
              <w:rPr>
                <w:rFonts w:ascii="Times New Roman" w:hAnsi="Times New Roman"/>
                <w:sz w:val="17"/>
              </w:rPr>
              <w:t>Transform History and target-list comparison.</w:t>
            </w:r>
          </w:p>
        </w:tc>
      </w:tr>
      <w:tr>
        <w:tc>
          <w:tcPr>
            <w:tcW w:type="dxa" w:w="3331"/>
            <w:vAlign w:val="center"/>
          </w:tcPr>
          <w:p>
            <w:pPr>
              <w:spacing w:after="40" w:before="40"/>
            </w:pPr>
            <w:r>
              <w:rPr>
                <w:rFonts w:ascii="Times New Roman" w:hAnsi="Times New Roman"/>
                <w:sz w:val="17"/>
              </w:rPr>
              <w:t>FR-6</w:t>
            </w:r>
          </w:p>
        </w:tc>
        <w:tc>
          <w:tcPr>
            <w:tcW w:type="dxa" w:w="3331"/>
            <w:vAlign w:val="center"/>
          </w:tcPr>
          <w:p>
            <w:pPr>
              <w:spacing w:after="40" w:before="40"/>
            </w:pPr>
            <w:r>
              <w:rPr>
                <w:rFonts w:ascii="Times New Roman" w:hAnsi="Times New Roman"/>
                <w:sz w:val="17"/>
              </w:rPr>
              <w:t>Create requested reports and dashboard.</w:t>
            </w:r>
          </w:p>
        </w:tc>
        <w:tc>
          <w:tcPr>
            <w:tcW w:type="dxa" w:w="3331"/>
            <w:vAlign w:val="center"/>
          </w:tcPr>
          <w:p>
            <w:pPr>
              <w:spacing w:after="40" w:before="40"/>
            </w:pPr>
            <w:r>
              <w:rPr>
                <w:rFonts w:ascii="Times New Roman" w:hAnsi="Times New Roman"/>
                <w:sz w:val="17"/>
              </w:rPr>
              <w:t>Three reports and dashboard reviewed with authorized access.</w:t>
            </w:r>
          </w:p>
        </w:tc>
      </w:tr>
    </w:tbl>
    <w:p>
      <w:pPr>
        <w:pStyle w:val="Heading2"/>
      </w:pPr>
      <w:r>
        <w:t>5.1 Non-functional requirements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DCE6F1"/>
          </w:tcPr>
          <w:p>
            <w:pPr>
              <w:spacing w:after="40" w:before="40"/>
            </w:pPr>
            <w:r>
              <w:rPr>
                <w:rFonts w:ascii="Times New Roman" w:hAnsi="Times New Roman"/>
                <w:b/>
                <w:sz w:val="17"/>
              </w:rPr>
              <w:t>ID</w:t>
            </w:r>
          </w:p>
        </w:tc>
        <w:tc>
          <w:tcPr>
            <w:tcW w:type="dxa" w:w="3331"/>
            <w:vAlign w:val="center"/>
            <w:shd w:fill="DCE6F1"/>
          </w:tcPr>
          <w:p>
            <w:pPr>
              <w:spacing w:after="40" w:before="40"/>
            </w:pPr>
            <w:r>
              <w:rPr>
                <w:rFonts w:ascii="Times New Roman" w:hAnsi="Times New Roman"/>
                <w:b/>
                <w:sz w:val="17"/>
              </w:rPr>
              <w:t>Requirement</w:t>
            </w:r>
          </w:p>
        </w:tc>
        <w:tc>
          <w:tcPr>
            <w:tcW w:type="dxa" w:w="3331"/>
            <w:vAlign w:val="center"/>
            <w:shd w:fill="DCE6F1"/>
          </w:tcPr>
          <w:p>
            <w:pPr>
              <w:spacing w:after="40" w:before="40"/>
            </w:pPr>
            <w:r>
              <w:rPr>
                <w:rFonts w:ascii="Times New Roman" w:hAnsi="Times New Roman"/>
                <w:b/>
                <w:sz w:val="17"/>
              </w:rPr>
              <w:t>Verification / open criterion</w:t>
            </w:r>
          </w:p>
        </w:tc>
      </w:tr>
      <w:tr>
        <w:tc>
          <w:tcPr>
            <w:tcW w:type="dxa" w:w="3331"/>
            <w:vAlign w:val="center"/>
          </w:tcPr>
          <w:p>
            <w:pPr>
              <w:spacing w:after="40" w:before="40"/>
            </w:pPr>
            <w:r>
              <w:rPr>
                <w:rFonts w:ascii="Times New Roman" w:hAnsi="Times New Roman"/>
                <w:sz w:val="17"/>
              </w:rPr>
              <w:t>NFR-1 Usability</w:t>
            </w:r>
          </w:p>
        </w:tc>
        <w:tc>
          <w:tcPr>
            <w:tcW w:type="dxa" w:w="3331"/>
            <w:vAlign w:val="center"/>
          </w:tcPr>
          <w:p>
            <w:pPr>
              <w:spacing w:after="40" w:before="40"/>
            </w:pPr>
            <w:r>
              <w:rPr>
                <w:rFonts w:ascii="Times New Roman" w:hAnsi="Times New Roman"/>
                <w:sz w:val="17"/>
              </w:rPr>
              <w:t>Repeatable load/transform flow with understandable field names and visible outcome.</w:t>
            </w:r>
          </w:p>
        </w:tc>
        <w:tc>
          <w:tcPr>
            <w:tcW w:type="dxa" w:w="3331"/>
            <w:vAlign w:val="center"/>
          </w:tcPr>
          <w:p>
            <w:pPr>
              <w:spacing w:after="40" w:before="40"/>
            </w:pPr>
            <w:r>
              <w:rPr>
                <w:rFonts w:ascii="Times New Roman" w:hAnsi="Times New Roman"/>
                <w:sz w:val="17"/>
              </w:rPr>
              <w:t>Walkthrough by intended coordinator; acceptance pending.</w:t>
            </w:r>
          </w:p>
        </w:tc>
      </w:tr>
      <w:tr>
        <w:tc>
          <w:tcPr>
            <w:tcW w:type="dxa" w:w="3331"/>
            <w:vAlign w:val="center"/>
          </w:tcPr>
          <w:p>
            <w:pPr>
              <w:spacing w:after="40" w:before="40"/>
            </w:pPr>
            <w:r>
              <w:rPr>
                <w:rFonts w:ascii="Times New Roman" w:hAnsi="Times New Roman"/>
                <w:sz w:val="17"/>
              </w:rPr>
              <w:t>NFR-2 Security</w:t>
            </w:r>
          </w:p>
        </w:tc>
        <w:tc>
          <w:tcPr>
            <w:tcW w:type="dxa" w:w="3331"/>
            <w:vAlign w:val="center"/>
          </w:tcPr>
          <w:p>
            <w:pPr>
              <w:spacing w:after="40" w:before="40"/>
            </w:pPr>
            <w:r>
              <w:rPr>
                <w:rFonts w:ascii="Times New Roman" w:hAnsi="Times New Roman"/>
                <w:sz w:val="17"/>
              </w:rPr>
              <w:t>Restrict source files, import/target tables, reports and dashboard to authorized roles.</w:t>
            </w:r>
          </w:p>
        </w:tc>
        <w:tc>
          <w:tcPr>
            <w:tcW w:type="dxa" w:w="3331"/>
            <w:vAlign w:val="center"/>
          </w:tcPr>
          <w:p>
            <w:pPr>
              <w:spacing w:after="40" w:before="40"/>
            </w:pPr>
            <w:r>
              <w:rPr>
                <w:rFonts w:ascii="Times New Roman" w:hAnsi="Times New Roman"/>
                <w:sz w:val="17"/>
              </w:rPr>
              <w:t>Review ACLs, role grants, sharing, and negative access tests.</w:t>
            </w:r>
          </w:p>
        </w:tc>
      </w:tr>
      <w:tr>
        <w:tc>
          <w:tcPr>
            <w:tcW w:type="dxa" w:w="3331"/>
            <w:vAlign w:val="center"/>
          </w:tcPr>
          <w:p>
            <w:pPr>
              <w:spacing w:after="40" w:before="40"/>
            </w:pPr>
            <w:r>
              <w:rPr>
                <w:rFonts w:ascii="Times New Roman" w:hAnsi="Times New Roman"/>
                <w:sz w:val="17"/>
              </w:rPr>
              <w:t>NFR-3 Reliability</w:t>
            </w:r>
          </w:p>
        </w:tc>
        <w:tc>
          <w:tcPr>
            <w:tcW w:type="dxa" w:w="3331"/>
            <w:vAlign w:val="center"/>
          </w:tcPr>
          <w:p>
            <w:pPr>
              <w:spacing w:after="40" w:before="40"/>
            </w:pPr>
            <w:r>
              <w:rPr>
                <w:rFonts w:ascii="Times New Roman" w:hAnsi="Times New Roman"/>
                <w:sz w:val="17"/>
              </w:rPr>
              <w:t>Use populated unique Employee ID and retain row-level outcomes.</w:t>
            </w:r>
          </w:p>
        </w:tc>
        <w:tc>
          <w:tcPr>
            <w:tcW w:type="dxa" w:w="3331"/>
            <w:vAlign w:val="center"/>
          </w:tcPr>
          <w:p>
            <w:pPr>
              <w:spacing w:after="40" w:before="40"/>
            </w:pPr>
            <w:r>
              <w:rPr>
                <w:rFonts w:ascii="Times New Roman" w:hAnsi="Times New Roman"/>
                <w:sz w:val="17"/>
              </w:rPr>
              <w:t>Negative tests for blank/duplicate IDs and history review.</w:t>
            </w:r>
          </w:p>
        </w:tc>
      </w:tr>
      <w:tr>
        <w:tc>
          <w:tcPr>
            <w:tcW w:type="dxa" w:w="3331"/>
            <w:vAlign w:val="center"/>
          </w:tcPr>
          <w:p>
            <w:pPr>
              <w:spacing w:after="40" w:before="40"/>
            </w:pPr>
            <w:r>
              <w:rPr>
                <w:rFonts w:ascii="Times New Roman" w:hAnsi="Times New Roman"/>
                <w:sz w:val="17"/>
              </w:rPr>
              <w:t>NFR-4 Performance</w:t>
            </w:r>
          </w:p>
        </w:tc>
        <w:tc>
          <w:tcPr>
            <w:tcW w:type="dxa" w:w="3331"/>
            <w:vAlign w:val="center"/>
          </w:tcPr>
          <w:p>
            <w:pPr>
              <w:spacing w:after="40" w:before="40"/>
            </w:pPr>
            <w:r>
              <w:rPr>
                <w:rFonts w:ascii="Times New Roman" w:hAnsi="Times New Roman"/>
                <w:sz w:val="17"/>
              </w:rPr>
              <w:t>Size batches for actual instance and data volume.</w:t>
            </w:r>
          </w:p>
        </w:tc>
        <w:tc>
          <w:tcPr>
            <w:tcW w:type="dxa" w:w="3331"/>
            <w:vAlign w:val="center"/>
          </w:tcPr>
          <w:p>
            <w:pPr>
              <w:spacing w:after="40" w:before="40"/>
            </w:pPr>
            <w:r>
              <w:rPr>
                <w:rFonts w:ascii="Times New Roman" w:hAnsi="Times New Roman"/>
                <w:sz w:val="17"/>
              </w:rPr>
              <w:t>Record representative duration; set numeric target with owner.</w:t>
            </w:r>
          </w:p>
        </w:tc>
      </w:tr>
      <w:tr>
        <w:tc>
          <w:tcPr>
            <w:tcW w:type="dxa" w:w="3331"/>
            <w:vAlign w:val="center"/>
          </w:tcPr>
          <w:p>
            <w:pPr>
              <w:spacing w:after="40" w:before="40"/>
            </w:pPr>
            <w:r>
              <w:rPr>
                <w:rFonts w:ascii="Times New Roman" w:hAnsi="Times New Roman"/>
                <w:sz w:val="17"/>
              </w:rPr>
              <w:t>NFR-5 Availability</w:t>
            </w:r>
          </w:p>
        </w:tc>
        <w:tc>
          <w:tcPr>
            <w:tcW w:type="dxa" w:w="3331"/>
            <w:vAlign w:val="center"/>
          </w:tcPr>
          <w:p>
            <w:pPr>
              <w:spacing w:after="40" w:before="40"/>
            </w:pPr>
            <w:r>
              <w:rPr>
                <w:rFonts w:ascii="Times New Roman" w:hAnsi="Times New Roman"/>
                <w:sz w:val="17"/>
              </w:rPr>
              <w:t>Workflow depends on operational ServiceNow instance and assigned access.</w:t>
            </w:r>
          </w:p>
        </w:tc>
        <w:tc>
          <w:tcPr>
            <w:tcW w:type="dxa" w:w="3331"/>
            <w:vAlign w:val="center"/>
          </w:tcPr>
          <w:p>
            <w:pPr>
              <w:spacing w:after="40" w:before="40"/>
            </w:pPr>
            <w:r>
              <w:rPr>
                <w:rFonts w:ascii="Times New Roman" w:hAnsi="Times New Roman"/>
                <w:sz w:val="17"/>
              </w:rPr>
              <w:t>No independent SLA supplied.</w:t>
            </w:r>
          </w:p>
        </w:tc>
      </w:tr>
      <w:tr>
        <w:tc>
          <w:tcPr>
            <w:tcW w:type="dxa" w:w="3331"/>
            <w:vAlign w:val="center"/>
          </w:tcPr>
          <w:p>
            <w:pPr>
              <w:spacing w:after="40" w:before="40"/>
            </w:pPr>
            <w:r>
              <w:rPr>
                <w:rFonts w:ascii="Times New Roman" w:hAnsi="Times New Roman"/>
                <w:sz w:val="17"/>
              </w:rPr>
              <w:t>NFR-6 Scalability</w:t>
            </w:r>
          </w:p>
        </w:tc>
        <w:tc>
          <w:tcPr>
            <w:tcW w:type="dxa" w:w="3331"/>
            <w:vAlign w:val="center"/>
          </w:tcPr>
          <w:p>
            <w:pPr>
              <w:spacing w:after="40" w:before="40"/>
            </w:pPr>
            <w:r>
              <w:rPr>
                <w:rFonts w:ascii="Times New Roman" w:hAnsi="Times New Roman"/>
                <w:sz w:val="17"/>
              </w:rPr>
              <w:t>Validate processing time and table growth at expected volume.</w:t>
            </w:r>
          </w:p>
        </w:tc>
        <w:tc>
          <w:tcPr>
            <w:tcW w:type="dxa" w:w="3331"/>
            <w:vAlign w:val="center"/>
          </w:tcPr>
          <w:p>
            <w:pPr>
              <w:spacing w:after="40" w:before="40"/>
            </w:pPr>
            <w:r>
              <w:rPr>
                <w:rFonts w:ascii="Times New Roman" w:hAnsi="Times New Roman"/>
                <w:sz w:val="17"/>
              </w:rPr>
              <w:t>Expected volume and load target remain to be agreed.</w:t>
            </w:r>
          </w:p>
        </w:tc>
      </w:tr>
    </w:tbl>
    <w:p>
      <w:pPr>
        <w:pStyle w:val="Heading1"/>
      </w:pPr>
      <w:r>
        <w:t>6. Configuration and Operating Procedure</w:t>
      </w:r>
    </w:p>
    <w:p>
      <w:pPr>
        <w:pStyle w:val="Heading2"/>
      </w:pPr>
      <w:r>
        <w:t>6.1 Prerequisites</w:t>
      </w:r>
    </w:p>
    <w:p>
      <w:pPr>
        <w:pStyle w:val="ListBullet"/>
      </w:pPr>
      <w:r>
        <w:t>Approved non-production ServiceNow instance and authorized named account with necessary roles.</w:t>
      </w:r>
    </w:p>
    <w:p>
      <w:pPr>
        <w:pStyle w:val="ListBullet"/>
      </w:pPr>
      <w:r>
        <w:t>Controlled .xlsx workbook with header row 1: Employee ID, Name, Email, Department, Location; one person per row.</w:t>
      </w:r>
    </w:p>
    <w:p>
      <w:pPr>
        <w:pStyle w:val="ListBullet"/>
      </w:pPr>
      <w:r>
        <w:t>Review and resolve blank or duplicate Employee IDs before upload. Do not put real employee data in unapproved test environments.</w:t>
      </w:r>
    </w:p>
    <w:p>
      <w:pPr>
        <w:pStyle w:val="Heading2"/>
      </w:pPr>
      <w:r>
        <w:t>6.2 Configure once</w:t>
      </w:r>
    </w:p>
    <w:p>
      <w:pPr>
        <w:pStyle w:val="ListNumber"/>
      </w:pPr>
      <w:r>
        <w:t>Create Employee Test (u_employee_test) and the five String fields.</w:t>
      </w:r>
    </w:p>
    <w:p>
      <w:pPr>
        <w:pStyle w:val="ListNumber"/>
      </w:pPr>
      <w:r>
        <w:t>Load a sample workbook through Load Data to create Employee Import (u_employee_import), or select the existing staging table.</w:t>
      </w:r>
    </w:p>
    <w:p>
      <w:pPr>
        <w:pStyle w:val="ListNumber"/>
      </w:pPr>
      <w:r>
        <w:t>Create Transform Map named Sample Spreadsheet Import. Set source Employee Import and target Employee Test.</w:t>
      </w:r>
    </w:p>
    <w:p>
      <w:pPr>
        <w:pStyle w:val="ListNumber"/>
      </w:pPr>
      <w:r>
        <w:t>Auto-map matching labels, then use Mapping Assist for Name  to  Employee Name. Inspect all saved mappings.</w:t>
      </w:r>
    </w:p>
    <w:p>
      <w:pPr>
        <w:pStyle w:val="ListNumber"/>
      </w:pPr>
      <w:r>
        <w:t>Enable coalesce for the Employee ID field map. Save and verify the map configuration.</w:t>
      </w:r>
    </w:p>
    <w:p>
      <w:pPr>
        <w:pStyle w:val="ListNumber"/>
      </w:pPr>
      <w:r>
        <w:t>Create and save Employees by Department (pie/count), Employees by Location (bar/count), and Employee List Report (five fields).</w:t>
      </w:r>
    </w:p>
    <w:p>
      <w:pPr>
        <w:pStyle w:val="ListNumber"/>
      </w:pPr>
      <w:r>
        <w:t>Create the Employee Analytics dashboard and add the three reports. Confirm the exact dashboard name and access configuration in the instance.</w:t>
      </w:r>
    </w:p>
    <w:p>
      <w:pPr>
        <w:pStyle w:val="Heading2"/>
      </w:pPr>
      <w:r>
        <w:t>6.3 Each import run</w:t>
      </w:r>
    </w:p>
    <w:p>
      <w:pPr>
        <w:pStyle w:val="ListNumber"/>
      </w:pPr>
      <w:r>
        <w:t>Select Load Data and choose the .xlsx file. Select existing table u_employee_import, worksheet 1, header row 1.</w:t>
      </w:r>
    </w:p>
    <w:p>
      <w:pPr>
        <w:pStyle w:val="ListNumber"/>
      </w:pPr>
      <w:r>
        <w:t>Submit and confirm the import set completes; note its row count and identifier.</w:t>
      </w:r>
    </w:p>
    <w:p>
      <w:pPr>
        <w:pStyle w:val="ListNumber"/>
      </w:pPr>
      <w:r>
        <w:t>Run the Sample Spreadsheet Import transform against that import set.</w:t>
      </w:r>
    </w:p>
    <w:p>
      <w:pPr>
        <w:pStyle w:val="ListNumber"/>
      </w:pPr>
      <w:r>
        <w:t>Open Transform History; record run identity, insert/update/ignore/failure counts, and errors.</w:t>
      </w:r>
    </w:p>
    <w:p>
      <w:pPr>
        <w:pStyle w:val="ListNumber"/>
      </w:pPr>
      <w:r>
        <w:t>Compare selected target records and list totals to the source. Investigate exceptions before using reports.</w:t>
      </w:r>
    </w:p>
    <w:p>
      <w:pPr>
        <w:pStyle w:val="ListNumber"/>
      </w:pPr>
      <w:r>
        <w:t>Use only authorized access when viewing employee details. Retain or delete source files according to organizational policy.</w:t>
      </w:r>
    </w:p>
    <w:p>
      <w:pPr>
        <w:pStyle w:val="Heading1"/>
      </w:pPr>
      <w:r>
        <w:t>7. Reports and User Interface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shd w:fill="DCE6F1"/>
          </w:tcPr>
          <w:p>
            <w:pPr>
              <w:spacing w:after="40" w:before="40"/>
            </w:pPr>
            <w:r>
              <w:rPr>
                <w:rFonts w:ascii="Times New Roman" w:hAnsi="Times New Roman"/>
                <w:b/>
                <w:sz w:val="17"/>
              </w:rPr>
              <w:t>Report</w:t>
            </w:r>
          </w:p>
        </w:tc>
        <w:tc>
          <w:tcPr>
            <w:tcW w:type="dxa" w:w="3331"/>
            <w:vAlign w:val="center"/>
            <w:shd w:fill="DCE6F1"/>
          </w:tcPr>
          <w:p>
            <w:pPr>
              <w:spacing w:after="40" w:before="40"/>
            </w:pPr>
            <w:r>
              <w:rPr>
                <w:rFonts w:ascii="Times New Roman" w:hAnsi="Times New Roman"/>
                <w:b/>
                <w:sz w:val="17"/>
              </w:rPr>
              <w:t>Type</w:t>
            </w:r>
          </w:p>
        </w:tc>
        <w:tc>
          <w:tcPr>
            <w:tcW w:type="dxa" w:w="3331"/>
            <w:vAlign w:val="center"/>
            <w:shd w:fill="DCE6F1"/>
          </w:tcPr>
          <w:p>
            <w:pPr>
              <w:spacing w:after="40" w:before="40"/>
            </w:pPr>
            <w:r>
              <w:rPr>
                <w:rFonts w:ascii="Times New Roman" w:hAnsi="Times New Roman"/>
                <w:b/>
                <w:sz w:val="17"/>
              </w:rPr>
              <w:t>Configuration / display</w:t>
            </w:r>
          </w:p>
        </w:tc>
      </w:tr>
      <w:tr>
        <w:tc>
          <w:tcPr>
            <w:tcW w:type="dxa" w:w="3331"/>
            <w:vAlign w:val="center"/>
          </w:tcPr>
          <w:p>
            <w:pPr>
              <w:spacing w:after="40" w:before="40"/>
            </w:pPr>
            <w:r>
              <w:rPr>
                <w:rFonts w:ascii="Times New Roman" w:hAnsi="Times New Roman"/>
                <w:sz w:val="17"/>
              </w:rPr>
              <w:t>Employees by Department</w:t>
            </w:r>
          </w:p>
        </w:tc>
        <w:tc>
          <w:tcPr>
            <w:tcW w:type="dxa" w:w="3331"/>
            <w:vAlign w:val="center"/>
          </w:tcPr>
          <w:p>
            <w:pPr>
              <w:spacing w:after="40" w:before="40"/>
            </w:pPr>
            <w:r>
              <w:rPr>
                <w:rFonts w:ascii="Times New Roman" w:hAnsi="Times New Roman"/>
                <w:sz w:val="17"/>
              </w:rPr>
              <w:t>Pie chart</w:t>
            </w:r>
          </w:p>
        </w:tc>
        <w:tc>
          <w:tcPr>
            <w:tcW w:type="dxa" w:w="3331"/>
            <w:vAlign w:val="center"/>
          </w:tcPr>
          <w:p>
            <w:pPr>
              <w:spacing w:after="40" w:before="40"/>
            </w:pPr>
            <w:r>
              <w:rPr>
                <w:rFonts w:ascii="Times New Roman" w:hAnsi="Times New Roman"/>
                <w:sz w:val="17"/>
              </w:rPr>
              <w:t>u_employee_test; group by Department; aggregation Count.</w:t>
            </w:r>
          </w:p>
        </w:tc>
      </w:tr>
      <w:tr>
        <w:tc>
          <w:tcPr>
            <w:tcW w:type="dxa" w:w="3331"/>
            <w:vAlign w:val="center"/>
          </w:tcPr>
          <w:p>
            <w:pPr>
              <w:spacing w:after="40" w:before="40"/>
            </w:pPr>
            <w:r>
              <w:rPr>
                <w:rFonts w:ascii="Times New Roman" w:hAnsi="Times New Roman"/>
                <w:sz w:val="17"/>
              </w:rPr>
              <w:t>Employees by Location</w:t>
            </w:r>
          </w:p>
        </w:tc>
        <w:tc>
          <w:tcPr>
            <w:tcW w:type="dxa" w:w="3331"/>
            <w:vAlign w:val="center"/>
          </w:tcPr>
          <w:p>
            <w:pPr>
              <w:spacing w:after="40" w:before="40"/>
            </w:pPr>
            <w:r>
              <w:rPr>
                <w:rFonts w:ascii="Times New Roman" w:hAnsi="Times New Roman"/>
                <w:sz w:val="17"/>
              </w:rPr>
              <w:t>Bar chart</w:t>
            </w:r>
          </w:p>
        </w:tc>
        <w:tc>
          <w:tcPr>
            <w:tcW w:type="dxa" w:w="3331"/>
            <w:vAlign w:val="center"/>
          </w:tcPr>
          <w:p>
            <w:pPr>
              <w:spacing w:after="40" w:before="40"/>
            </w:pPr>
            <w:r>
              <w:rPr>
                <w:rFonts w:ascii="Times New Roman" w:hAnsi="Times New Roman"/>
                <w:sz w:val="17"/>
              </w:rPr>
              <w:t>u_employee_test; group by Location; aggregation Count.</w:t>
            </w:r>
          </w:p>
        </w:tc>
      </w:tr>
      <w:tr>
        <w:tc>
          <w:tcPr>
            <w:tcW w:type="dxa" w:w="3331"/>
            <w:vAlign w:val="center"/>
          </w:tcPr>
          <w:p>
            <w:pPr>
              <w:spacing w:after="40" w:before="40"/>
            </w:pPr>
            <w:r>
              <w:rPr>
                <w:rFonts w:ascii="Times New Roman" w:hAnsi="Times New Roman"/>
                <w:sz w:val="17"/>
              </w:rPr>
              <w:t>Employee List Report</w:t>
            </w:r>
          </w:p>
        </w:tc>
        <w:tc>
          <w:tcPr>
            <w:tcW w:type="dxa" w:w="3331"/>
            <w:vAlign w:val="center"/>
          </w:tcPr>
          <w:p>
            <w:pPr>
              <w:spacing w:after="40" w:before="40"/>
            </w:pPr>
            <w:r>
              <w:rPr>
                <w:rFonts w:ascii="Times New Roman" w:hAnsi="Times New Roman"/>
                <w:sz w:val="17"/>
              </w:rPr>
              <w:t>List</w:t>
            </w:r>
          </w:p>
        </w:tc>
        <w:tc>
          <w:tcPr>
            <w:tcW w:type="dxa" w:w="3331"/>
            <w:vAlign w:val="center"/>
          </w:tcPr>
          <w:p>
            <w:pPr>
              <w:spacing w:after="40" w:before="40"/>
            </w:pPr>
            <w:r>
              <w:rPr>
                <w:rFonts w:ascii="Times New Roman" w:hAnsi="Times New Roman"/>
                <w:sz w:val="17"/>
              </w:rPr>
              <w:t>Employee ID, Employee Name, Email, Department, Location.</w:t>
            </w:r>
          </w:p>
        </w:tc>
      </w:tr>
      <w:tr>
        <w:tc>
          <w:tcPr>
            <w:tcW w:type="dxa" w:w="3331"/>
            <w:vAlign w:val="center"/>
          </w:tcPr>
          <w:p>
            <w:pPr>
              <w:spacing w:after="40" w:before="40"/>
            </w:pPr>
            <w:r>
              <w:rPr>
                <w:rFonts w:ascii="Times New Roman" w:hAnsi="Times New Roman"/>
                <w:sz w:val="17"/>
              </w:rPr>
              <w:t>Employee Analytics Dashboard</w:t>
            </w:r>
          </w:p>
        </w:tc>
        <w:tc>
          <w:tcPr>
            <w:tcW w:type="dxa" w:w="3331"/>
            <w:vAlign w:val="center"/>
          </w:tcPr>
          <w:p>
            <w:pPr>
              <w:spacing w:after="40" w:before="40"/>
            </w:pPr>
            <w:r>
              <w:rPr>
                <w:rFonts w:ascii="Times New Roman" w:hAnsi="Times New Roman"/>
                <w:sz w:val="17"/>
              </w:rPr>
              <w:t>Dashboard</w:t>
            </w:r>
          </w:p>
        </w:tc>
        <w:tc>
          <w:tcPr>
            <w:tcW w:type="dxa" w:w="3331"/>
            <w:vAlign w:val="center"/>
          </w:tcPr>
          <w:p>
            <w:pPr>
              <w:spacing w:after="40" w:before="40"/>
            </w:pPr>
            <w:r>
              <w:rPr>
                <w:rFonts w:ascii="Times New Roman" w:hAnsi="Times New Roman"/>
                <w:sz w:val="17"/>
              </w:rPr>
              <w:t>Contains the three reports; restrict sharing to intended users/groups/roles.</w:t>
            </w:r>
          </w:p>
        </w:tc>
      </w:tr>
    </w:tbl>
    <w:p>
      <w:r>
        <w:t>The source guide alternates between “Employee Analytics Dashboard” and “Employee Analytics Dashboards.” Confirm the actual saved name. Although the walkthrough mentions enabling Admin Override on a pa_dashboards ACL to reach the creation form, changing a base ACL is security-sensitive. Do not apply that workaround without explicit instance security administrator approval; prefer an approved role and least-privilege path.</w:t>
      </w:r>
    </w:p>
    <w:p>
      <w:pPr>
        <w:pStyle w:val="Heading1"/>
      </w:pPr>
      <w:r>
        <w:t>8. API and Integration</w:t>
      </w:r>
    </w:p>
    <w:p>
      <w:r>
        <w:t>No custom API is part of the documented solution. The implemented interaction is an authorized user uploading a workbook through the ServiceNow interface. The ServiceNow Import Set API is a possible future integration route only; it is not evidence that an API was configured or tested.</w:t>
      </w:r>
    </w:p>
    <w:p>
      <w:pPr>
        <w:pStyle w:val="Heading1"/>
      </w:pPr>
      <w:r>
        <w:t>9. Authentication and Security</w:t>
      </w:r>
    </w:p>
    <w:p>
      <w:pPr>
        <w:pStyle w:val="ListBullet"/>
      </w:pPr>
      <w:r>
        <w:t>Use named accounts and least-privilege roles. Confirm table and field ACLs for u_employee_import and u_employee_test.</w:t>
      </w:r>
    </w:p>
    <w:p>
      <w:pPr>
        <w:pStyle w:val="ListBullet"/>
      </w:pPr>
      <w:r>
        <w:t>Restrict report and dashboard sharing; a dashboard should not expose employee details to unauthorized users.</w:t>
      </w:r>
    </w:p>
    <w:p>
      <w:pPr>
        <w:pStyle w:val="ListBullet"/>
      </w:pPr>
      <w:r>
        <w:t>Use synthetic or approved test data in non-production. Protect uploaded spreadsheets and exported screenshots.</w:t>
      </w:r>
    </w:p>
    <w:p>
      <w:pPr>
        <w:pStyle w:val="ListBullet"/>
      </w:pPr>
      <w:r>
        <w:t>Review import permissions, data retention, audit/history access, and any instance-specific privacy requirements with the platform owner.</w:t>
      </w:r>
    </w:p>
    <w:p>
      <w:pPr>
        <w:pStyle w:val="Heading1"/>
      </w:pPr>
      <w:r>
        <w:t>10. Testing and Evidence</w:t>
      </w:r>
    </w:p>
    <w:p>
      <w:r>
        <w:t>The supplied implementation guide reports successful initial import and describes a later 4-row import with 2 inserted new IDs and 2 updates to matching IDs. It further reports that repeating the same four rows produced 0 inserts, 0 updates, and 4 ignored rows. These are source-reported demonstration outcomes, not independently rerun results or formal acceptance testing.</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vAlign w:val="center"/>
            <w:shd w:fill="DCE6F1"/>
          </w:tcPr>
          <w:p>
            <w:pPr>
              <w:spacing w:after="40" w:before="40"/>
            </w:pPr>
            <w:r>
              <w:rPr>
                <w:rFonts w:ascii="Times New Roman" w:hAnsi="Times New Roman"/>
                <w:b/>
                <w:sz w:val="17"/>
              </w:rPr>
              <w:t>Evidence item</w:t>
            </w:r>
          </w:p>
        </w:tc>
        <w:tc>
          <w:tcPr>
            <w:tcW w:type="dxa" w:w="4997"/>
            <w:vAlign w:val="center"/>
            <w:shd w:fill="DCE6F1"/>
          </w:tcPr>
          <w:p>
            <w:pPr>
              <w:spacing w:after="40" w:before="40"/>
            </w:pPr>
            <w:r>
              <w:rPr>
                <w:rFonts w:ascii="Times New Roman" w:hAnsi="Times New Roman"/>
                <w:b/>
                <w:sz w:val="17"/>
              </w:rPr>
              <w:t>Documented state</w:t>
            </w:r>
          </w:p>
        </w:tc>
      </w:tr>
      <w:tr>
        <w:tc>
          <w:tcPr>
            <w:tcW w:type="dxa" w:w="4997"/>
            <w:vAlign w:val="center"/>
          </w:tcPr>
          <w:p>
            <w:pPr>
              <w:spacing w:after="40" w:before="40"/>
            </w:pPr>
            <w:r>
              <w:rPr>
                <w:rFonts w:ascii="Times New Roman" w:hAnsi="Times New Roman"/>
                <w:sz w:val="17"/>
              </w:rPr>
              <w:t>Sample target data</w:t>
            </w:r>
          </w:p>
        </w:tc>
        <w:tc>
          <w:tcPr>
            <w:tcW w:type="dxa" w:w="4997"/>
            <w:vAlign w:val="center"/>
          </w:tcPr>
          <w:p>
            <w:pPr>
              <w:spacing w:after="40" w:before="40"/>
            </w:pPr>
            <w:r>
              <w:rPr>
                <w:rFonts w:ascii="Times New Roman" w:hAnsi="Times New Roman"/>
                <w:sz w:val="17"/>
              </w:rPr>
              <w:t>Screenshots show 17 sample records; aggregate screenshot reports show Department counts ServiceNow 11, Salesforce 4, Aiml 2 and Location counts Hyderabad 16, Chennai 1. Sample-data evidence only.</w:t>
            </w:r>
          </w:p>
        </w:tc>
      </w:tr>
      <w:tr>
        <w:tc>
          <w:tcPr>
            <w:tcW w:type="dxa" w:w="4997"/>
            <w:vAlign w:val="center"/>
          </w:tcPr>
          <w:p>
            <w:pPr>
              <w:spacing w:after="40" w:before="40"/>
            </w:pPr>
            <w:r>
              <w:rPr>
                <w:rFonts w:ascii="Times New Roman" w:hAnsi="Times New Roman"/>
                <w:sz w:val="17"/>
              </w:rPr>
              <w:t>Transform behavior</w:t>
            </w:r>
          </w:p>
        </w:tc>
        <w:tc>
          <w:tcPr>
            <w:tcW w:type="dxa" w:w="4997"/>
            <w:vAlign w:val="center"/>
          </w:tcPr>
          <w:p>
            <w:pPr>
              <w:spacing w:after="40" w:before="40"/>
            </w:pPr>
            <w:r>
              <w:rPr>
                <w:rFonts w:ascii="Times New Roman" w:hAnsi="Times New Roman"/>
                <w:sz w:val="17"/>
              </w:rPr>
              <w:t>Guide reports 2 inserts + 2 updates on a four-row mixed batch; repeat: 0 inserts + 0 updates + 4 ignored.</w:t>
            </w:r>
          </w:p>
        </w:tc>
      </w:tr>
      <w:tr>
        <w:tc>
          <w:tcPr>
            <w:tcW w:type="dxa" w:w="4997"/>
            <w:vAlign w:val="center"/>
          </w:tcPr>
          <w:p>
            <w:pPr>
              <w:spacing w:after="40" w:before="40"/>
            </w:pPr>
            <w:r>
              <w:rPr>
                <w:rFonts w:ascii="Times New Roman" w:hAnsi="Times New Roman"/>
                <w:sz w:val="17"/>
              </w:rPr>
              <w:t>Formal UAT</w:t>
            </w:r>
          </w:p>
        </w:tc>
        <w:tc>
          <w:tcPr>
            <w:tcW w:type="dxa" w:w="4997"/>
            <w:vAlign w:val="center"/>
          </w:tcPr>
          <w:p>
            <w:pPr>
              <w:spacing w:after="40" w:before="40"/>
            </w:pPr>
            <w:r>
              <w:rPr>
                <w:rFonts w:ascii="Times New Roman" w:hAnsi="Times New Roman"/>
                <w:sz w:val="17"/>
              </w:rPr>
              <w:t>17 planned functional/security cases are Not run; tester, instance URL, actual results, and sign-off are pending.</w:t>
            </w:r>
          </w:p>
        </w:tc>
      </w:tr>
      <w:tr>
        <w:tc>
          <w:tcPr>
            <w:tcW w:type="dxa" w:w="4997"/>
            <w:vAlign w:val="center"/>
          </w:tcPr>
          <w:p>
            <w:pPr>
              <w:spacing w:after="40" w:before="40"/>
            </w:pPr>
            <w:r>
              <w:rPr>
                <w:rFonts w:ascii="Times New Roman" w:hAnsi="Times New Roman"/>
                <w:sz w:val="17"/>
              </w:rPr>
              <w:t>Performance</w:t>
            </w:r>
          </w:p>
        </w:tc>
        <w:tc>
          <w:tcPr>
            <w:tcW w:type="dxa" w:w="4997"/>
            <w:vAlign w:val="center"/>
          </w:tcPr>
          <w:p>
            <w:pPr>
              <w:spacing w:after="40" w:before="40"/>
            </w:pPr>
            <w:r>
              <w:rPr>
                <w:rFonts w:ascii="Times New Roman" w:hAnsi="Times New Roman"/>
                <w:sz w:val="17"/>
              </w:rPr>
              <w:t>No measured duration, volume threshold, or numeric service target supplied.</w:t>
            </w:r>
          </w:p>
        </w:tc>
      </w:tr>
    </w:tbl>
    <w:p>
      <w:r>
        <w:t>The reports are supported by aggregate-only screenshots; no individual employee list is embedded to avoid unnecessary disclosure of names and email addresses.</w:t>
      </w:r>
    </w:p>
    <w:p>
      <w:pPr>
        <w:jc w:val="center"/>
      </w:pPr>
      <w:r>
        <w:drawing>
          <wp:inline xmlns:a="http://schemas.openxmlformats.org/drawingml/2006/main" xmlns:pic="http://schemas.openxmlformats.org/drawingml/2006/picture">
            <wp:extent cx="4480560" cy="2069266"/>
            <wp:docPr id="3" name="Picture 3"/>
            <wp:cNvGraphicFramePr>
              <a:graphicFrameLocks noChangeAspect="1"/>
            </wp:cNvGraphicFramePr>
            <a:graphic>
              <a:graphicData uri="http://schemas.openxmlformats.org/drawingml/2006/picture">
                <pic:pic>
                  <pic:nvPicPr>
                    <pic:cNvPr id="0" name="department_report_evidence.png"/>
                    <pic:cNvPicPr/>
                  </pic:nvPicPr>
                  <pic:blipFill>
                    <a:blip r:embed="rId11"/>
                    <a:stretch>
                      <a:fillRect/>
                    </a:stretch>
                  </pic:blipFill>
                  <pic:spPr>
                    <a:xfrm>
                      <a:off x="0" y="0"/>
                      <a:ext cx="4480560" cy="2069266"/>
                    </a:xfrm>
                    <a:prstGeom prst="rect"/>
                  </pic:spPr>
                </pic:pic>
              </a:graphicData>
            </a:graphic>
          </wp:inline>
        </w:drawing>
      </w:r>
    </w:p>
    <w:p>
      <w:pPr>
        <w:jc w:val="center"/>
      </w:pPr>
      <w:r>
        <w:rPr>
          <w:i/>
          <w:sz w:val="16"/>
        </w:rPr>
        <w:t>Figure 3. Aggregate sample-data employee counts by department.</w:t>
      </w:r>
    </w:p>
    <w:p>
      <w:pPr>
        <w:jc w:val="center"/>
      </w:pPr>
      <w:r>
        <w:drawing>
          <wp:inline xmlns:a="http://schemas.openxmlformats.org/drawingml/2006/main" xmlns:pic="http://schemas.openxmlformats.org/drawingml/2006/picture">
            <wp:extent cx="4480560" cy="3927531"/>
            <wp:docPr id="4" name="Picture 4"/>
            <wp:cNvGraphicFramePr>
              <a:graphicFrameLocks noChangeAspect="1"/>
            </wp:cNvGraphicFramePr>
            <a:graphic>
              <a:graphicData uri="http://schemas.openxmlformats.org/drawingml/2006/picture">
                <pic:pic>
                  <pic:nvPicPr>
                    <pic:cNvPr id="0" name="location_report_evidence.png"/>
                    <pic:cNvPicPr/>
                  </pic:nvPicPr>
                  <pic:blipFill>
                    <a:blip r:embed="rId12"/>
                    <a:stretch>
                      <a:fillRect/>
                    </a:stretch>
                  </pic:blipFill>
                  <pic:spPr>
                    <a:xfrm>
                      <a:off x="0" y="0"/>
                      <a:ext cx="4480560" cy="3927531"/>
                    </a:xfrm>
                    <a:prstGeom prst="rect"/>
                  </pic:spPr>
                </pic:pic>
              </a:graphicData>
            </a:graphic>
          </wp:inline>
        </w:drawing>
      </w:r>
    </w:p>
    <w:p>
      <w:pPr>
        <w:jc w:val="center"/>
      </w:pPr>
      <w:r>
        <w:rPr>
          <w:i/>
          <w:sz w:val="16"/>
        </w:rPr>
        <w:t>Figure 4. Aggregate sample-data employee counts by location.</w:t>
      </w:r>
    </w:p>
    <w:p>
      <w:pPr>
        <w:pStyle w:val="Heading1"/>
      </w:pPr>
      <w:r>
        <w:t>11. Known Issues and Decisions to Confirm</w:t>
      </w:r>
    </w:p>
    <w:p>
      <w:pPr>
        <w:pStyle w:val="ListBullet"/>
      </w:pPr>
      <w:r>
        <w:t>The source guide does not explicitly show the saved field-map configuration or a formal test log; verify in the instance.</w:t>
      </w:r>
    </w:p>
    <w:p>
      <w:pPr>
        <w:pStyle w:val="ListBullet"/>
      </w:pPr>
      <w:r>
        <w:t>Confirm dashboard singular/plural name and dashboard/report sharing.</w:t>
      </w:r>
    </w:p>
    <w:p>
      <w:pPr>
        <w:pStyle w:val="ListBullet"/>
      </w:pPr>
      <w:r>
        <w:t>Confirm whether only the three detailed reports are implemented. The guide conclusion mentions additional total/new/updated/import success/error metrics without configuration steps; treat those as unverified.</w:t>
      </w:r>
    </w:p>
    <w:p>
      <w:pPr>
        <w:pStyle w:val="ListBullet"/>
      </w:pPr>
      <w:r>
        <w:t>The ACL Admin Override workaround needs security-owner review.</w:t>
      </w:r>
    </w:p>
    <w:p>
      <w:pPr>
        <w:pStyle w:val="ListBullet"/>
      </w:pPr>
      <w:r>
        <w:t>Confirm source workbook schema, unique-ID policy, expected data volume, retention, supported ServiceNow release, and deployment ownership.</w:t>
      </w:r>
    </w:p>
    <w:p>
      <w:pPr>
        <w:pStyle w:val="Heading1"/>
      </w:pPr>
      <w:r>
        <w:t>12. Future Enhancements</w:t>
      </w:r>
    </w:p>
    <w:p>
      <w:pPr>
        <w:pStyle w:val="ListBullet"/>
      </w:pPr>
      <w:r>
        <w:t>Add pre-transform validation for blank/duplicate Employee IDs and required headers with actionable feedback.</w:t>
      </w:r>
    </w:p>
    <w:p>
      <w:pPr>
        <w:pStyle w:val="ListBullet"/>
      </w:pPr>
      <w:r>
        <w:t>Define a controlled error-correction and reprocessing process.</w:t>
      </w:r>
    </w:p>
    <w:p>
      <w:pPr>
        <w:pStyle w:val="ListBullet"/>
      </w:pPr>
      <w:r>
        <w:t>Capture import duration, batch size, and error rates to set measurable performance goals.</w:t>
      </w:r>
    </w:p>
    <w:p>
      <w:pPr>
        <w:pStyle w:val="ListBullet"/>
      </w:pPr>
      <w:r>
        <w:t>Consider an approved API-based feed or scheduled import only if a future requirement justifies it.</w:t>
      </w:r>
    </w:p>
    <w:p>
      <w:pPr>
        <w:pStyle w:val="ListBullet"/>
      </w:pPr>
      <w:r>
        <w:t>Add validated summary metrics only after implementing and reconciling them against Transform History.</w:t>
      </w:r>
    </w:p>
    <w:p>
      <w:pPr>
        <w:pStyle w:val="Heading1"/>
      </w:pPr>
      <w:r>
        <w:t>13. References and Related Project Artifacts</w:t>
      </w:r>
    </w:p>
    <w:p>
      <w:pPr>
        <w:pStyle w:val="ListBullet"/>
      </w:pPr>
      <w:r>
        <w:t>Project implementation guide: “Import Data using Transform Maps (Spreadsheet)” supplied by the project owner.</w:t>
      </w:r>
    </w:p>
    <w:p>
      <w:pPr>
        <w:pStyle w:val="ListBullet"/>
      </w:pPr>
      <w:r>
        <w:t>Project requirements: Solution Requirements - SWTID-2026-8585; 6 functional and 6 non-functional requirements.</w:t>
      </w:r>
    </w:p>
    <w:p>
      <w:pPr>
        <w:pStyle w:val="ListBullet"/>
      </w:pPr>
      <w:r>
        <w:t>Design: Data Flow Diagram and User Stories; Technology Stack and Architecture; Solution Architecture.</w:t>
      </w:r>
    </w:p>
    <w:p>
      <w:pPr>
        <w:pStyle w:val="ListBullet"/>
      </w:pPr>
      <w:r>
        <w:t>Testing: Functional and Performance Testing; UAT Plan - SWTID-2026-8585.</w:t>
      </w:r>
    </w:p>
    <w:p>
      <w:pPr>
        <w:pStyle w:val="ListBullet"/>
      </w:pPr>
      <w:r>
        <w:t>ServiceNow Import Sets key concepts: https://www.servicenow.com/docs/r/xanadu/integrate-applications/system-import-sets/c_ImportSetsKeyConcepts.html</w:t>
      </w:r>
    </w:p>
    <w:p>
      <w:pPr>
        <w:pStyle w:val="ListBullet"/>
      </w:pPr>
      <w:r>
        <w:t>ServiceNow create a field map and coalesce: https://www.servicenow.com/docs/r/integrate-applications/system-import-sets/t_CreatingAFieldMap.html</w:t>
      </w:r>
    </w:p>
    <w:p>
      <w:pPr>
        <w:pStyle w:val="ListBullet"/>
      </w:pPr>
      <w:r>
        <w:t>ServiceNow ACL rule types: https://www.servicenow.com/docs/r/platform-security/access-control/acl-rule-types.html</w:t>
      </w:r>
    </w:p>
    <w:sectPr w:rsidR="00FC693F" w:rsidRPr="0006063C" w:rsidSect="00034616">
      <w:footerReference w:type="default" r:id="rId13"/>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SWTID-2026-8585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