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02/10/2026</w:t>
            </w:r>
          </w:p>
        </w:tc>
      </w:tr>
      <w:tr w:rsidR="004360B1" w14:paraId="7890E6B7" w14:textId="77777777">
        <w:tc>
          <w:tcPr>
            <w:tcW w:w="4508" w:type="dxa"/>
          </w:tcPr>
          <w:p w14:paraId="0C019381" w14:textId="77777777" w:rsidR="004360B1" w:rsidRDefault="00000000">
            <w:r>
              <w:t>Team ID</w:t>
            </w:r>
          </w:p>
        </w:tc>
        <w:tc>
          <w:tcPr>
            <w:tcW w:w="4508"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SWTID-2026-8585</w:t>
            </w:r>
          </w:p>
        </w:tc>
      </w:tr>
      <w:tr w:rsidR="004360B1" w14:paraId="51E034FC" w14:textId="77777777">
        <w:tc>
          <w:tcPr>
            <w:tcW w:w="4508" w:type="dxa"/>
          </w:tcPr>
          <w:p w14:paraId="69F005D8" w14:textId="77777777" w:rsidR="004360B1" w:rsidRDefault="00000000">
            <w:r>
              <w:t>Project Name</w:t>
            </w:r>
          </w:p>
        </w:tc>
        <w:tc>
          <w:tcPr>
            <w:tcW w:w="4508"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IMPORT DATA USING TRANSFORM MAPS (SPREADSHEET)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Project-specific ServiceNow employee import diagram" title="ServiceNow employee spreadsheet import"/>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pPr>
        <w:spacing w:before="60" w:after="80"/>
      </w:pPr>
      <w:r>
        <w:rPr>
          <w:rFonts w:ascii="Calibri" w:hAnsi="Calibri"/>
          <w:b w:val="0"/>
          <w:color w:val="404040"/>
          <w:sz w:val="16"/>
        </w:rPr>
        <w:t>Working hypothesis based on the supplied project workflow. Confirm the customer behaviors, constraints, and emotions with HR users before treating them as research findings.</w:t>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