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sz w:val="20"/>
        </w:rPr>
        <w:t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sz w:val="20"/>
        </w:rPr>
        <w:t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specified in project brief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sz w:val="20"/>
        </w:rPr>
        <w:t>School IT Ticket Automation: Problem Statements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>
        <w:rPr>
          <w:sz w:val="20"/>
        </w:rPr>
        <w:t>Use the customer perspective to describe how manual school IT ticket handling affects students, teachers, and helpdesk agents.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>
        <w:rPr>
          <w:sz w:val="20"/>
        </w:rPr>
        <w:t>The project addresses Wi-Fi, projector, password/login, and slow-computer requests. ServiceNow Flow Designer will classify the ticket from keywords, assign Category and Subcategory, and notify the Caller.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673350"/>
            <wp:effectExtent b="0" l="0" r="0" t="0"/>
            <wp:docPr descr="Graphical user interface, text, application, email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>
        <w:rPr>
          <w:sz w:val="20"/>
        </w:rPr>
        <w:t>Source: Auto Ticket Classification using Flow Designer project brief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>
        <w:rPr>
          <w:sz w:val="20"/>
        </w:rPr>
        <w:t>Project scenarios and classification logic: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40624" cy="1111307"/>
            <wp:effectExtent b="0" l="0" r="0" t="0"/>
            <wp:docPr descr="Chart, treemap chart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Chart, treemap chart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>
            <w:shd w:fill="D9EAF7"/>
          </w:tcPr>
          <w:p w:rsidR="00000000" w:rsidDel="00000000" w:rsidP="00000000" w:rsidRDefault="00000000" w:rsidRPr="00000000" w14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/>
                <w:sz w:val="24"/>
                <w:szCs w:val="24"/>
                <w:rtl w:val="0"/>
              </w:rPr>
              <w:t xml:space="preserve">I am (Customer)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/>
                <w:sz w:val="24"/>
                <w:szCs w:val="24"/>
                <w:rtl w:val="0"/>
              </w:rPr>
              <w:t xml:space="preserve">I’m trying to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/>
                <w:sz w:val="24"/>
                <w:szCs w:val="24"/>
                <w:rtl w:val="0"/>
              </w:rPr>
              <w:t xml:space="preserve">But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/>
                <w:sz w:val="24"/>
                <w:szCs w:val="24"/>
                <w:rtl w:val="0"/>
              </w:rPr>
              <w:t xml:space="preserve">Because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PS-1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or teacher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submit a school IT support request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request is manually reviewed and categorized by IT staff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many daily requests make manual routing slow and error-prone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uncertain while waiting for the issue to reach the right queue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PS-2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IT helpdesk agent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receive complete, correctly routed ticket records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agent must interpret keywords and update Category and Subcategory by hand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ticket volume grows and inconsistent data makes routing harder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overloaded and concerned about delays and rework</w:t>
            </w:r>
          </w:p>
        </w:tc>
      </w:tr>
    </w:tbl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