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sz w:val="20"/>
        </w:rPr>
        <w:t>Proposed Solution: Automated School IT Ticket Classification</w:t>
      </w:r>
    </w:p>
    <w:p w14:paraId="37C39CAD" w14:textId="77777777" w:rsidR="00604E29" w:rsidRDefault="00000000">
      <w:r>
        <w:rPr>
          <w:sz w:val="20"/>
        </w:rPr>
        <w:t>The solution uses ServiceNow Flow Designer to classify school IT support requests from keywords, apply valid Category and Subcategory values, store a structured ticket, and notify the caller.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  <w:shd w:fill="D9EAF7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shd w:fill="D9EAF7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  <w:shd w:fill="D9EAF7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w="365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Students and teachers submit Wi-Fi, projector, password/login, and slow-computer issues. IT staff manually interpret each request, causing delays, routing errors, and inconsistent ticket data.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w="365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 an Incident Workflow table with structured fields. Trigger a no-code Flow Designer flow when a record is created and Category is empty; evaluate keywords and update Category, Subcategory, and caller notification.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w="365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Novelty / Uniqueness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The solution combines dependent choice logic, keyword-based classification, standardized ticket records, and email acknowledgement without custom scripting or machine learning.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w="365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Students and teachers receive faster confirmation and more predictable routing. IT agents spend less time on repetitive categorization and more time resolving issues.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w="365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Internal school operations improvement rather than a direct revenue product. Value is measured through reduced manual effort, shorter routing time, and improved service quality.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365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New issue types and mappings can be added through configurable Flow Designer conditions, choice values, fields, and update sets; the pattern can extend to other departments.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