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4.9597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>
        <w:rPr>
          <w:sz w:val="20"/>
        </w:rPr>
        <w:t>ServiceNow Flow Designer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0224609375" w:line="240" w:lineRule="auto"/>
        <w:ind w:left="0" w:right="1853.83972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>
        <w:rPr>
          <w:sz w:val="20"/>
        </w:rPr>
        <w:t>Project Documentation Format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8002929687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sz w:val="20"/>
        </w:rPr>
        <w:t>1. Introduction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sz w:val="20"/>
        </w:rPr>
        <w:t>• Project Title: Auto Ticket Classification using Flow Designer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sz w:val="20"/>
        </w:rPr>
        <w:t>• Team Members: Not specified in the project brief; roles include product owner, ServiceNow administrator, IT helpdesk representative, and tester.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sz w:val="20"/>
        </w:rPr>
        <w:t>2. Project Overview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30.40809154510498" w:lineRule="auto"/>
        <w:ind w:left="366.019287109375" w:right="1944.5599365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sz w:val="20"/>
        </w:rPr>
        <w:t>• Purpose: Automate classification of school IT support tickets at creation time, reduce manual effort, improve routing, and provide caller acknowledgement. • Features: Incident Workflow table, auto-numbering, dependent Category/Subcategory choices, Flow Designer keyword branches, email notification, update-set deployment, and validation scenarios.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11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sz w:val="20"/>
        </w:rPr>
        <w:t>3. Architecture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sz w:val="20"/>
        </w:rPr>
        <w:t>• User interface: ServiceNow Incident Workflow form used by students, teachers, and IT agents. • Automation: Flow Designer flow “Auto Classify School IT Tickets” triggers on record creation when Category is empty. • Data: Structured fields include Number, Caller, Category, Subcategory, Short Description, Description, State, Assigned Group, and Assigned 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87029266357" w:lineRule="auto"/>
        <w:ind w:left="366.019287109375" w:right="963.4393310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sz w:val="20"/>
        </w:rPr>
        <w:t>• Classification logic: WiFi/Network → Network / Wi-Fi; Projector → Hardware / Projector; Password/Login → Access / Forgot Password; Slow/Hanging → Performance / Slow Computer. • Notification: Flow Designer sends confirmation to Caller → Email.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0.8135986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sz w:val="20"/>
        </w:rPr>
        <w:t>4. Setup Instructions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804195404053" w:lineRule="auto"/>
        <w:ind w:left="366.019287109375" w:right="493.88000488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sz w:val="20"/>
        </w:rPr>
        <w:t>• Prerequisites: Authorized ServiceNow instance, administrator role, Incident Workflow table, Flow Designer, email configuration, and a current Project Update Set. • Installation: Create the update set; create the custom table and fields; configure dependent choices; build and activate the flow; validate email; complete and export the update set.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126220703125" w:line="240" w:lineRule="auto"/>
        <w:ind w:left="1.62719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sz w:val="20"/>
        </w:rPr>
        <w:t>5. Folder Structure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sz w:val="20"/>
        </w:rPr>
        <w:t>• Configuration artifacts: Update Set XML export, table and dictionary configuration, choice/dependency configuration, Flow Designer flow, email action, test evidence, and final documentation.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sz w:val="20"/>
        </w:rPr>
        <w:t>• Documentation structure: Requirement Analysis, Project Design, Project Planning, Project Development/UAT, and Project Documentation deliverables. No client/server source tree is used because this is a no-code ServiceNow implementation.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6787109375" w:line="240" w:lineRule="auto"/>
        <w:ind w:left="3.25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sz w:val="20"/>
        </w:rPr>
        <w:t>6. Running the Application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779876708984" w:lineRule="auto"/>
        <w:ind w:left="366.019287109375" w:right="1435.15930175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sz w:val="20"/>
        </w:rPr>
        <w:t>• User flow: Open the Incident Workflow form, enter Caller and Short Description, and save. • The record is created and the active flow classifies it automatically.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122802734375" w:line="240" w:lineRule="auto"/>
        <w:ind w:left="1089.7239685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sz w:val="20"/>
        </w:rPr>
        <w:t>• Administration flow: Open Flow Designer to review or maintain the active flow. Review system email logs for notification evidence. Use the Project Update Set to move configuration between environments.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203613281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sz w:val="20"/>
        </w:rPr>
        <w:t>7. API Documentation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sz w:val="20"/>
        </w:rPr>
        <w:t>• No external API endpoints are required. The solution uses native ServiceNow record, Flow Designer, reference, choice, and email actions. The primary record operation is creation/update of an Incident Workflow record.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81519508361816" w:lineRule="auto"/>
        <w:ind w:left="3.25439453125" w:right="2094.1998291015625" w:firstLine="362.76489257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sz w:val="20"/>
        </w:rPr>
        <w:t>• Request data: Caller, Short Description, Description, Category, Subcategory, State, Assigned Group, and Assigned to. • Response outcome: classified record, assignment-ready data, and caller acknowledgement email.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489501953125" w:line="229.90804195404053" w:lineRule="auto"/>
        <w:ind w:left="366.019287109375" w:right="1078.1591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sz w:val="20"/>
        </w:rPr>
        <w:t>8. Authentication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319152832031" w:line="240" w:lineRule="auto"/>
        <w:ind w:left="2.7120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sz w:val="20"/>
        </w:rPr>
        <w:t>• Access is controlled through ServiceNow roles and permissions. Students/teachers submit ticket data; IT agents work records; administrators maintain tables, flows, update sets, and email configuration. Test credentials must not be stored in this document.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sz w:val="20"/>
        </w:rPr>
        <w:t>9. User Interface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19238281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sz w:val="20"/>
        </w:rPr>
        <w:t>• Primary UI is the ServiceNow Incident Workflow form. The form collects Caller and Short Description while the automation fills classification fields. The project-specific architecture and data-flow diagrams are included in the final report.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sz w:val="20"/>
        </w:rPr>
        <w:t>10. Testing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sz w:val="20"/>
        </w:rPr>
        <w:t>• Testing covers positive keyword cases, dependent choices, record integrity, email notification, response time, controlled burst creation, duplicate auto-number checks, and role-based access. UAT cases TC-001 to TC-006 and performance cases PT-01 to PT-03 are documented as execution plans pending environment evidence.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859375" w:line="461.815767288208" w:lineRule="auto"/>
        <w:ind w:left="13.28887939453125" w:right="1462.879028320312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sz w:val="20"/>
        </w:rPr>
        <w:t>11. Screenshots or Demo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3369140625" w:line="462.3160457611084" w:lineRule="auto"/>
        <w:ind w:left="13.28887939453125" w:right="210.79956054687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sz w:val="20"/>
        </w:rPr>
        <w:t>• Demo path: create a Wi-Fi or Projector ticket, save and reload, inspect Category/Subcategory, then inspect the system email log. Evidence should be captured from the authorized ServiceNow instance during execution.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02880859375" w:line="240" w:lineRule="auto"/>
        <w:ind w:left="0" w:right="-6.40014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sz w:val="20"/>
        </w:rPr>
        <w:t>12. Known Issues and Future Enhancements: Keyword matching may require expansion for synonyms and unmatched descriptions; future work can add a fallback/manual-review route, more issue types, SLA dashboards, analytics, and richer audit reporting.</w:t>
      </w:r>
    </w:p>
    <w:sectPr>
      <w:pgSz w:h="16820" w:w="11900" w:orient="portrait"/>
      <w:pgMar w:bottom="1534.0800476074219" w:top="1416.400146484375" w:left="1444.8191833496094" w:right="1734.080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